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פליקס גורודצקי</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DB69DC" w:rsidRDefault="00977CF2" w:rsidP="00977CF2">
                <w:pPr>
                  <w:bidi w:val="0"/>
                  <w:jc w:val="right"/>
                  <w:rPr>
                    <w:rFonts w:ascii="Arial" w:hAnsi="Arial"/>
                    <w:b/>
                    <w:bCs/>
                    <w:noProof w:val="0"/>
                    <w:sz w:val="26"/>
                    <w:szCs w:val="26"/>
                    <w:rtl/>
                  </w:rPr>
                </w:pPr>
                <w:r>
                  <w:rPr>
                    <w:rFonts w:ascii="Arial" w:hAnsi="Arial" w:hint="cs"/>
                    <w:b/>
                    <w:bCs/>
                    <w:noProof w:val="0"/>
                    <w:sz w:val="26"/>
                    <w:szCs w:val="26"/>
                    <w:rtl/>
                  </w:rPr>
                  <w:t>מבקשת</w:t>
                </w:r>
              </w:p>
            </w:sdtContent>
          </w:sdt>
        </w:tc>
        <w:tc>
          <w:tcPr>
            <w:tcW w:w="5571" w:type="dxa"/>
          </w:tcPr>
          <w:p w:rsidR="002914D6" w:rsidRDefault="002914D6">
            <w:pPr>
              <w:rPr>
                <w:rFonts w:ascii="Arial" w:hAnsi="Arial"/>
                <w:b/>
                <w:bCs/>
                <w:noProof w:val="0"/>
                <w:sz w:val="26"/>
                <w:szCs w:val="26"/>
              </w:rPr>
            </w:pPr>
          </w:p>
          <w:p w:rsidR="002914D6" w:rsidRPr="00AA1498" w:rsidRDefault="00AA1498" w:rsidP="00977CF2">
            <w:pPr>
              <w:rPr>
                <w:b/>
                <w:bCs/>
                <w:noProof w:val="0"/>
                <w:sz w:val="26"/>
                <w:szCs w:val="26"/>
                <w:rtl/>
              </w:rPr>
            </w:pPr>
            <w:r w:rsidRPr="00AA1498">
              <w:rPr>
                <w:rFonts w:hint="cs"/>
                <w:b/>
                <w:bCs/>
                <w:rtl/>
              </w:rPr>
              <w:t>פלונית</w:t>
            </w:r>
          </w:p>
          <w:p w:rsidR="00977CF2" w:rsidRPr="00977CF2" w:rsidRDefault="00977CF2" w:rsidP="00977CF2">
            <w:pPr>
              <w:rPr>
                <w:noProof w:val="0"/>
                <w:sz w:val="26"/>
                <w:szCs w:val="26"/>
              </w:rPr>
            </w:pPr>
            <w:r w:rsidRPr="00977CF2">
              <w:rPr>
                <w:rFonts w:hint="cs"/>
                <w:noProof w:val="0"/>
                <w:sz w:val="26"/>
                <w:szCs w:val="26"/>
                <w:rtl/>
              </w:rPr>
              <w:t xml:space="preserve">ע"י </w:t>
            </w:r>
            <w:r>
              <w:rPr>
                <w:rFonts w:hint="cs"/>
                <w:noProof w:val="0"/>
                <w:sz w:val="26"/>
                <w:szCs w:val="26"/>
                <w:rtl/>
              </w:rPr>
              <w:t xml:space="preserve">ב"כ עוה"ד </w:t>
            </w:r>
            <w:r w:rsidRPr="00977CF2">
              <w:rPr>
                <w:rFonts w:hint="cs"/>
                <w:noProof w:val="0"/>
                <w:sz w:val="26"/>
                <w:szCs w:val="26"/>
                <w:rtl/>
              </w:rPr>
              <w:t xml:space="preserve">לי </w:t>
            </w:r>
            <w:r w:rsidRPr="00977CF2">
              <w:rPr>
                <w:noProof w:val="0"/>
                <w:sz w:val="26"/>
                <w:szCs w:val="26"/>
                <w:rtl/>
              </w:rPr>
              <w:t>–</w:t>
            </w:r>
            <w:r w:rsidRPr="00977CF2">
              <w:rPr>
                <w:rFonts w:hint="cs"/>
                <w:noProof w:val="0"/>
                <w:sz w:val="26"/>
                <w:szCs w:val="26"/>
                <w:rtl/>
              </w:rPr>
              <w:t xml:space="preserve"> רן שדה</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D64B9D" w:rsidP="00977CF2">
            <w:pPr>
              <w:rPr>
                <w:rFonts w:ascii="Arial" w:hAnsi="Arial"/>
                <w:b/>
                <w:bCs/>
                <w:noProof w:val="0"/>
                <w:sz w:val="26"/>
                <w:szCs w:val="26"/>
              </w:rPr>
            </w:pPr>
            <w:sdt>
              <w:sdtPr>
                <w:rPr>
                  <w:rtl/>
                </w:rPr>
                <w:alias w:val="1184"/>
                <w:tag w:val="1184"/>
                <w:id w:val="385841288"/>
                <w:text w:multiLine="1"/>
              </w:sdtPr>
              <w:sdtEndPr/>
              <w:sdtContent>
                <w:r w:rsidR="00977CF2">
                  <w:rPr>
                    <w:rFonts w:ascii="Arial" w:hAnsi="Arial" w:hint="cs"/>
                    <w:b/>
                    <w:bCs/>
                    <w:noProof w:val="0"/>
                    <w:sz w:val="26"/>
                    <w:szCs w:val="26"/>
                    <w:rtl/>
                  </w:rPr>
                  <w:t>משיב</w:t>
                </w:r>
              </w:sdtContent>
            </w:sdt>
          </w:p>
        </w:tc>
        <w:tc>
          <w:tcPr>
            <w:tcW w:w="5571" w:type="dxa"/>
          </w:tcPr>
          <w:p w:rsidR="002914D6" w:rsidRDefault="002914D6">
            <w:pPr>
              <w:rPr>
                <w:rFonts w:ascii="Arial" w:hAnsi="Arial"/>
                <w:b/>
                <w:bCs/>
                <w:noProof w:val="0"/>
                <w:sz w:val="26"/>
                <w:szCs w:val="26"/>
                <w:rtl/>
              </w:rPr>
            </w:pPr>
          </w:p>
          <w:p w:rsidR="002914D6" w:rsidRDefault="00AA1498" w:rsidP="00AA1498">
            <w:pPr>
              <w:rPr>
                <w:b/>
                <w:bCs/>
                <w:noProof w:val="0"/>
                <w:sz w:val="26"/>
                <w:szCs w:val="26"/>
                <w:rtl/>
              </w:rPr>
            </w:pPr>
            <w:r>
              <w:rPr>
                <w:rFonts w:ascii="Arial" w:hAnsi="Arial" w:hint="cs"/>
                <w:b/>
                <w:bCs/>
                <w:noProof w:val="0"/>
                <w:sz w:val="26"/>
                <w:szCs w:val="26"/>
                <w:rtl/>
              </w:rPr>
              <w:t>אלמוני</w:t>
            </w:r>
            <w:sdt>
              <w:sdtPr>
                <w:rPr>
                  <w:rtl/>
                </w:rPr>
                <w:alias w:val="2316"/>
                <w:tag w:val="2316"/>
                <w:id w:val="-119842878"/>
                <w:text w:multiLine="1"/>
              </w:sdtPr>
              <w:sdtEndPr/>
              <w:sdtContent>
                <w:r w:rsidR="00977CF2">
                  <w:rPr>
                    <w:rFonts w:ascii="Arial" w:hAnsi="Arial"/>
                    <w:b/>
                    <w:bCs/>
                    <w:noProof w:val="0"/>
                    <w:sz w:val="26"/>
                    <w:szCs w:val="26"/>
                    <w:rtl/>
                  </w:rPr>
                  <w:br/>
                </w:r>
                <w:r w:rsidR="00977CF2">
                  <w:rPr>
                    <w:rFonts w:hint="cs"/>
                    <w:rtl/>
                  </w:rPr>
                  <w:t>ע"י ב"כ עוה"ד לילך אללוף</w:t>
                </w:r>
              </w:sdtContent>
            </w:sdt>
          </w:p>
        </w:tc>
      </w:tr>
      <w:tr w:rsidR="00DA714E" w:rsidTr="00020144">
        <w:tc>
          <w:tcPr>
            <w:tcW w:w="8820" w:type="dxa"/>
            <w:gridSpan w:val="3"/>
          </w:tcPr>
          <w:p w:rsidR="00DA714E" w:rsidRPr="00977CF2" w:rsidRDefault="00DA714E" w:rsidP="00977CF2">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977CF2">
        <w:trPr>
          <w:jc w:val="center"/>
        </w:trPr>
        <w:tc>
          <w:tcPr>
            <w:tcW w:w="8820" w:type="dxa"/>
          </w:tcPr>
          <w:p w:rsidR="002914D6" w:rsidRPr="00977CF2" w:rsidRDefault="002914D6">
            <w:pPr>
              <w:bidi w:val="0"/>
              <w:jc w:val="center"/>
              <w:rPr>
                <w:rFonts w:ascii="Arial" w:hAnsi="Arial"/>
                <w:b/>
                <w:bCs/>
                <w:i/>
                <w:iCs/>
                <w:noProof w:val="0"/>
                <w:sz w:val="36"/>
                <w:szCs w:val="36"/>
              </w:rPr>
            </w:pPr>
          </w:p>
          <w:p w:rsidR="002914D6" w:rsidRPr="00977CF2" w:rsidRDefault="00530E94">
            <w:pPr>
              <w:bidi w:val="0"/>
              <w:jc w:val="center"/>
              <w:rPr>
                <w:rFonts w:ascii="Arial" w:hAnsi="Arial"/>
                <w:b/>
                <w:bCs/>
                <w:i/>
                <w:iCs/>
                <w:noProof w:val="0"/>
                <w:sz w:val="36"/>
                <w:szCs w:val="36"/>
                <w:u w:val="single"/>
              </w:rPr>
            </w:pPr>
            <w:r w:rsidRPr="00977CF2">
              <w:rPr>
                <w:rFonts w:ascii="Arial" w:hAnsi="Arial" w:hint="cs"/>
                <w:b/>
                <w:bCs/>
                <w:i/>
                <w:iCs/>
                <w:noProof w:val="0"/>
                <w:sz w:val="36"/>
                <w:szCs w:val="36"/>
                <w:u w:val="single"/>
                <w:rtl/>
              </w:rPr>
              <w:t>החלטה</w:t>
            </w:r>
          </w:p>
        </w:tc>
      </w:tr>
    </w:tbl>
    <w:p w:rsidR="002914D6" w:rsidRDefault="002914D6">
      <w:pPr>
        <w:spacing w:line="360" w:lineRule="auto"/>
        <w:jc w:val="both"/>
        <w:rPr>
          <w:rFonts w:ascii="Arial" w:hAnsi="Arial"/>
          <w:noProof w:val="0"/>
          <w:rtl/>
        </w:rPr>
      </w:pPr>
    </w:p>
    <w:p w:rsidR="00977CF2" w:rsidRDefault="00977CF2" w:rsidP="00977CF2">
      <w:pPr>
        <w:spacing w:line="360" w:lineRule="auto"/>
        <w:jc w:val="both"/>
        <w:rPr>
          <w:rFonts w:ascii="David" w:hAnsi="David"/>
          <w:noProof w:val="0"/>
        </w:rPr>
      </w:pPr>
      <w:r>
        <w:rPr>
          <w:rFonts w:ascii="David" w:hAnsi="David"/>
          <w:rtl/>
        </w:rPr>
        <w:t>לפניי בקשה להפקדת ערובה לצורך הבטחת הוצאות ההליך (להלן: "</w:t>
      </w:r>
      <w:r>
        <w:rPr>
          <w:rFonts w:ascii="David" w:hAnsi="David"/>
          <w:b/>
          <w:bCs/>
          <w:rtl/>
        </w:rPr>
        <w:t>הבקשה</w:t>
      </w:r>
      <w:r>
        <w:rPr>
          <w:rFonts w:ascii="David" w:hAnsi="David"/>
          <w:rtl/>
        </w:rPr>
        <w:t>").</w:t>
      </w:r>
    </w:p>
    <w:p w:rsidR="00977CF2" w:rsidRDefault="00977CF2" w:rsidP="00977CF2">
      <w:pPr>
        <w:spacing w:line="360" w:lineRule="auto"/>
        <w:jc w:val="both"/>
        <w:rPr>
          <w:rFonts w:ascii="David" w:hAnsi="David"/>
          <w:rtl/>
        </w:rPr>
      </w:pPr>
    </w:p>
    <w:p w:rsidR="00977CF2" w:rsidRDefault="00977CF2" w:rsidP="00977CF2">
      <w:pPr>
        <w:spacing w:line="360" w:lineRule="auto"/>
        <w:jc w:val="both"/>
        <w:rPr>
          <w:rFonts w:ascii="David" w:hAnsi="David"/>
          <w:rtl/>
        </w:rPr>
      </w:pPr>
      <w:r>
        <w:rPr>
          <w:rFonts w:ascii="David" w:hAnsi="David"/>
          <w:rtl/>
        </w:rPr>
        <w:t>הבקשה הוגשה במסגרת תביעת התובע (להלן: "</w:t>
      </w:r>
      <w:r>
        <w:rPr>
          <w:rFonts w:ascii="David" w:hAnsi="David"/>
          <w:b/>
          <w:bCs/>
          <w:rtl/>
        </w:rPr>
        <w:t>המשיב</w:t>
      </w:r>
      <w:r>
        <w:rPr>
          <w:rFonts w:ascii="David" w:hAnsi="David"/>
          <w:rtl/>
        </w:rPr>
        <w:t>") לביטול או הפחתת מזונות, אותה הגיש כנגד הנתבעת (להלן: "</w:t>
      </w:r>
      <w:r>
        <w:rPr>
          <w:rFonts w:ascii="David" w:hAnsi="David"/>
          <w:b/>
          <w:bCs/>
          <w:rtl/>
        </w:rPr>
        <w:t>המבקשת</w:t>
      </w:r>
      <w:r>
        <w:rPr>
          <w:rFonts w:ascii="David" w:hAnsi="David"/>
          <w:rtl/>
        </w:rPr>
        <w:t>").</w:t>
      </w:r>
    </w:p>
    <w:p w:rsidR="00977CF2" w:rsidRDefault="00977CF2" w:rsidP="00977CF2">
      <w:pPr>
        <w:spacing w:line="360" w:lineRule="auto"/>
        <w:jc w:val="both"/>
        <w:rPr>
          <w:rFonts w:ascii="David" w:hAnsi="David"/>
          <w:rtl/>
        </w:rPr>
      </w:pPr>
    </w:p>
    <w:p w:rsidR="00977CF2" w:rsidRDefault="00977CF2" w:rsidP="00977CF2">
      <w:pPr>
        <w:spacing w:line="360" w:lineRule="auto"/>
        <w:jc w:val="both"/>
        <w:rPr>
          <w:rFonts w:ascii="David" w:hAnsi="David"/>
          <w:b/>
          <w:bCs/>
          <w:u w:val="single"/>
          <w:rtl/>
        </w:rPr>
      </w:pPr>
      <w:r>
        <w:rPr>
          <w:rFonts w:ascii="David" w:hAnsi="David"/>
          <w:b/>
          <w:bCs/>
          <w:u w:val="single"/>
          <w:rtl/>
        </w:rPr>
        <w:t>רקע עובדתי רלוונטי</w:t>
      </w:r>
    </w:p>
    <w:p w:rsidR="00977CF2" w:rsidRDefault="00977CF2" w:rsidP="00977CF2">
      <w:pPr>
        <w:spacing w:line="360" w:lineRule="auto"/>
        <w:jc w:val="both"/>
        <w:rPr>
          <w:rFonts w:ascii="David" w:hAnsi="David"/>
          <w:rtl/>
        </w:rPr>
      </w:pPr>
    </w:p>
    <w:p w:rsidR="00977CF2" w:rsidRDefault="00977CF2" w:rsidP="00AA1498">
      <w:pPr>
        <w:pStyle w:val="ae"/>
        <w:numPr>
          <w:ilvl w:val="0"/>
          <w:numId w:val="1"/>
        </w:numPr>
        <w:spacing w:line="360" w:lineRule="auto"/>
        <w:jc w:val="both"/>
        <w:rPr>
          <w:rtl/>
        </w:rPr>
      </w:pPr>
      <w:r>
        <w:rPr>
          <w:rFonts w:hint="cs"/>
          <w:rtl/>
        </w:rPr>
        <w:t>המבקשת והמשיב (להלן: "</w:t>
      </w:r>
      <w:r>
        <w:rPr>
          <w:rFonts w:hint="cs"/>
          <w:b/>
          <w:bCs/>
          <w:rtl/>
        </w:rPr>
        <w:t>הצדדים</w:t>
      </w:r>
      <w:r w:rsidR="00AA1498">
        <w:rPr>
          <w:rFonts w:hint="cs"/>
          <w:rtl/>
        </w:rPr>
        <w:t xml:space="preserve">") נישאו זל"ז כדמו"י ביום </w:t>
      </w:r>
      <w:r w:rsidR="00AA1498">
        <w:rPr>
          <w:rFonts w:hint="cs"/>
        </w:rPr>
        <w:t>XXX</w:t>
      </w:r>
      <w:r>
        <w:rPr>
          <w:rFonts w:hint="cs"/>
          <w:rtl/>
        </w:rPr>
        <w:t>.</w:t>
      </w:r>
    </w:p>
    <w:p w:rsidR="00977CF2" w:rsidRDefault="00977CF2" w:rsidP="00977CF2">
      <w:pPr>
        <w:pStyle w:val="ae"/>
        <w:spacing w:line="360" w:lineRule="auto"/>
        <w:jc w:val="both"/>
      </w:pPr>
    </w:p>
    <w:p w:rsidR="00977CF2" w:rsidRDefault="00977CF2" w:rsidP="00977CF2">
      <w:pPr>
        <w:pStyle w:val="ae"/>
        <w:numPr>
          <w:ilvl w:val="0"/>
          <w:numId w:val="1"/>
        </w:numPr>
        <w:spacing w:line="360" w:lineRule="auto"/>
        <w:jc w:val="both"/>
      </w:pPr>
      <w:r>
        <w:rPr>
          <w:rFonts w:hint="cs"/>
          <w:rtl/>
        </w:rPr>
        <w:t>מקשר הנישואין נולדו לצדדים 5 ילדים: 4 קטינים (להלן: "</w:t>
      </w:r>
      <w:r>
        <w:rPr>
          <w:rFonts w:hint="cs"/>
          <w:b/>
          <w:bCs/>
          <w:rtl/>
        </w:rPr>
        <w:t>הקטינים</w:t>
      </w:r>
      <w:r>
        <w:rPr>
          <w:rFonts w:hint="cs"/>
          <w:rtl/>
        </w:rPr>
        <w:t>") ובת בגירה.</w:t>
      </w:r>
    </w:p>
    <w:p w:rsidR="00977CF2" w:rsidRDefault="00977CF2" w:rsidP="00977CF2">
      <w:pPr>
        <w:pStyle w:val="ae"/>
        <w:spacing w:line="360" w:lineRule="auto"/>
      </w:pPr>
    </w:p>
    <w:p w:rsidR="00977CF2" w:rsidRDefault="00977CF2" w:rsidP="00AA1498">
      <w:pPr>
        <w:pStyle w:val="ae"/>
        <w:numPr>
          <w:ilvl w:val="0"/>
          <w:numId w:val="1"/>
        </w:numPr>
        <w:spacing w:line="360" w:lineRule="auto"/>
        <w:jc w:val="both"/>
        <w:rPr>
          <w:rtl/>
        </w:rPr>
      </w:pPr>
      <w:r>
        <w:rPr>
          <w:rFonts w:hint="cs"/>
          <w:rtl/>
        </w:rPr>
        <w:t xml:space="preserve">הצדדים התגרשו בשנת </w:t>
      </w:r>
      <w:r w:rsidR="00AA1498">
        <w:rPr>
          <w:rFonts w:hint="cs"/>
        </w:rPr>
        <w:t>XXX</w:t>
      </w:r>
      <w:r>
        <w:rPr>
          <w:rFonts w:hint="cs"/>
          <w:rtl/>
        </w:rPr>
        <w:t xml:space="preserve">, אגב עריכת הסכם גירושין שקיבל תוקף של פסק דין בבית הדין הרבני ביום </w:t>
      </w:r>
      <w:r w:rsidR="00AA1498">
        <w:rPr>
          <w:rFonts w:hint="cs"/>
        </w:rPr>
        <w:t>XXX</w:t>
      </w:r>
      <w:r>
        <w:rPr>
          <w:rFonts w:hint="cs"/>
          <w:rtl/>
        </w:rPr>
        <w:t xml:space="preserve"> (להלן: "</w:t>
      </w:r>
      <w:r>
        <w:rPr>
          <w:rFonts w:hint="cs"/>
          <w:b/>
          <w:bCs/>
          <w:rtl/>
        </w:rPr>
        <w:t>ההסכם</w:t>
      </w:r>
      <w:r>
        <w:rPr>
          <w:rFonts w:hint="cs"/>
          <w:rtl/>
        </w:rPr>
        <w:t>").</w:t>
      </w:r>
    </w:p>
    <w:p w:rsidR="00977CF2" w:rsidRDefault="00977CF2" w:rsidP="00977CF2">
      <w:pPr>
        <w:pStyle w:val="ae"/>
        <w:spacing w:line="360" w:lineRule="auto"/>
      </w:pPr>
    </w:p>
    <w:p w:rsidR="00977CF2" w:rsidRDefault="00977CF2" w:rsidP="00977CF2">
      <w:pPr>
        <w:pStyle w:val="ae"/>
        <w:numPr>
          <w:ilvl w:val="0"/>
          <w:numId w:val="1"/>
        </w:numPr>
        <w:spacing w:line="360" w:lineRule="auto"/>
        <w:jc w:val="both"/>
        <w:rPr>
          <w:rtl/>
        </w:rPr>
      </w:pPr>
      <w:r>
        <w:rPr>
          <w:rFonts w:hint="cs"/>
          <w:rtl/>
        </w:rPr>
        <w:t xml:space="preserve">במסגרת ההסכם הסכימו הצדדים כי המשיב יישא במזונות הילדים בסך של 5,000 ₪. </w:t>
      </w:r>
    </w:p>
    <w:p w:rsidR="00977CF2" w:rsidRDefault="00977CF2" w:rsidP="00977CF2">
      <w:pPr>
        <w:pStyle w:val="ae"/>
        <w:spacing w:line="360" w:lineRule="auto"/>
      </w:pPr>
    </w:p>
    <w:p w:rsidR="00977CF2" w:rsidRDefault="00977CF2" w:rsidP="00977CF2">
      <w:pPr>
        <w:spacing w:line="360" w:lineRule="auto"/>
        <w:jc w:val="both"/>
        <w:rPr>
          <w:rFonts w:ascii="David" w:hAnsi="David"/>
          <w:b/>
          <w:bCs/>
          <w:u w:val="single"/>
          <w:rtl/>
        </w:rPr>
      </w:pPr>
      <w:r>
        <w:rPr>
          <w:rFonts w:ascii="David" w:hAnsi="David"/>
          <w:b/>
          <w:bCs/>
          <w:u w:val="single"/>
          <w:rtl/>
        </w:rPr>
        <w:t>עיקר טענות המשיב בכתב התביעה</w:t>
      </w:r>
    </w:p>
    <w:p w:rsidR="00977CF2" w:rsidRDefault="00977CF2" w:rsidP="00977CF2">
      <w:pPr>
        <w:pStyle w:val="ae"/>
        <w:spacing w:line="360" w:lineRule="auto"/>
      </w:pPr>
    </w:p>
    <w:p w:rsidR="00977CF2" w:rsidRDefault="00977CF2" w:rsidP="00977CF2">
      <w:pPr>
        <w:pStyle w:val="ae"/>
        <w:numPr>
          <w:ilvl w:val="0"/>
          <w:numId w:val="1"/>
        </w:numPr>
        <w:spacing w:line="360" w:lineRule="auto"/>
        <w:jc w:val="both"/>
        <w:rPr>
          <w:rtl/>
        </w:rPr>
      </w:pPr>
      <w:r>
        <w:rPr>
          <w:rFonts w:hint="cs"/>
          <w:rtl/>
        </w:rPr>
        <w:t xml:space="preserve">במסגרת כתב התביעה, עתר המשיב לביטול או הפחתת מזונות הקטינים ממספר טעמים מרכזיים: </w:t>
      </w:r>
    </w:p>
    <w:p w:rsidR="00977CF2" w:rsidRDefault="00977CF2" w:rsidP="00977CF2">
      <w:pPr>
        <w:pStyle w:val="ae"/>
        <w:spacing w:line="360" w:lineRule="auto"/>
        <w:jc w:val="both"/>
      </w:pPr>
    </w:p>
    <w:p w:rsidR="00977CF2" w:rsidRDefault="00977CF2" w:rsidP="00AA1498">
      <w:pPr>
        <w:pStyle w:val="ae"/>
        <w:numPr>
          <w:ilvl w:val="0"/>
          <w:numId w:val="2"/>
        </w:numPr>
        <w:spacing w:line="360" w:lineRule="auto"/>
        <w:jc w:val="both"/>
        <w:rPr>
          <w:rtl/>
        </w:rPr>
      </w:pPr>
      <w:r>
        <w:rPr>
          <w:rFonts w:hint="cs"/>
          <w:rtl/>
        </w:rPr>
        <w:lastRenderedPageBreak/>
        <w:t xml:space="preserve">המשיב העתיק את מקום מגוריו לעיר </w:t>
      </w:r>
      <w:r w:rsidR="00AA1498">
        <w:rPr>
          <w:rFonts w:hint="cs"/>
        </w:rPr>
        <w:t>XXX</w:t>
      </w:r>
      <w:r>
        <w:rPr>
          <w:rFonts w:hint="cs"/>
          <w:rtl/>
        </w:rPr>
        <w:t xml:space="preserve">, המרוחקת כ-130 ק"מ ממקום המגורים האחרון של הצדדים והוא נדרש להביא את הקטינים למפגשים (לעת עתה רק שניים מתוך 4 הקטינים מגיעים למפגשים עם המשיב) באמצעות תחבורה ציבורית, דבר אשר מטיל עליו הוצאות כלכליות כבדות – </w:t>
      </w:r>
      <w:r>
        <w:rPr>
          <w:rFonts w:hint="cs"/>
          <w:b/>
          <w:bCs/>
          <w:rtl/>
        </w:rPr>
        <w:t>ראו: ס' 10 לכתב התביעה</w:t>
      </w:r>
      <w:r>
        <w:rPr>
          <w:rFonts w:hint="cs"/>
          <w:rtl/>
        </w:rPr>
        <w:t>;</w:t>
      </w:r>
    </w:p>
    <w:p w:rsidR="00977CF2" w:rsidRDefault="00977CF2" w:rsidP="00977CF2">
      <w:pPr>
        <w:pStyle w:val="ae"/>
        <w:spacing w:line="360" w:lineRule="auto"/>
        <w:jc w:val="both"/>
        <w:rPr>
          <w:rtl/>
        </w:rPr>
      </w:pPr>
    </w:p>
    <w:p w:rsidR="00977CF2" w:rsidRDefault="00977CF2" w:rsidP="00977CF2">
      <w:pPr>
        <w:pStyle w:val="ae"/>
        <w:numPr>
          <w:ilvl w:val="0"/>
          <w:numId w:val="2"/>
        </w:numPr>
        <w:spacing w:line="360" w:lineRule="auto"/>
        <w:jc w:val="both"/>
        <w:rPr>
          <w:rtl/>
        </w:rPr>
      </w:pPr>
      <w:r>
        <w:rPr>
          <w:rFonts w:hint="cs"/>
          <w:rtl/>
        </w:rPr>
        <w:t xml:space="preserve">לאורך חיי הנישואין, המשיב היה בעל עסק והשתכר תמורת סך של 10,000-12,000 ₪ לחודש, וכיום הוא עובד בעבודות מזדמנות תמורת שכר של כ-5,000 ₪ לחודש – </w:t>
      </w:r>
      <w:r>
        <w:rPr>
          <w:rFonts w:hint="cs"/>
          <w:b/>
          <w:bCs/>
          <w:rtl/>
        </w:rPr>
        <w:t>ראו: ס' 15-17 לכתב התביעה</w:t>
      </w:r>
      <w:r>
        <w:rPr>
          <w:rFonts w:hint="cs"/>
          <w:rtl/>
        </w:rPr>
        <w:t>;</w:t>
      </w:r>
    </w:p>
    <w:p w:rsidR="00977CF2" w:rsidRDefault="00977CF2" w:rsidP="00977CF2">
      <w:pPr>
        <w:pStyle w:val="ae"/>
        <w:spacing w:line="360" w:lineRule="auto"/>
        <w:jc w:val="both"/>
        <w:rPr>
          <w:rtl/>
        </w:rPr>
      </w:pPr>
    </w:p>
    <w:p w:rsidR="00977CF2" w:rsidRDefault="00977CF2" w:rsidP="00977CF2">
      <w:pPr>
        <w:pStyle w:val="ae"/>
        <w:numPr>
          <w:ilvl w:val="0"/>
          <w:numId w:val="2"/>
        </w:numPr>
        <w:spacing w:line="360" w:lineRule="auto"/>
        <w:jc w:val="both"/>
        <w:rPr>
          <w:rtl/>
        </w:rPr>
      </w:pPr>
      <w:r>
        <w:rPr>
          <w:rFonts w:hint="cs"/>
          <w:rtl/>
        </w:rPr>
        <w:t xml:space="preserve">בשל מצבו הכלכלי, המשיב הגיש בקשה לנקיטת הליך חדלות פירעון – </w:t>
      </w:r>
      <w:r>
        <w:rPr>
          <w:rFonts w:hint="cs"/>
          <w:b/>
          <w:bCs/>
          <w:rtl/>
        </w:rPr>
        <w:t>ראו: ס' 19 לבקשה</w:t>
      </w:r>
      <w:r>
        <w:rPr>
          <w:rFonts w:hint="cs"/>
          <w:rtl/>
        </w:rPr>
        <w:t>.</w:t>
      </w:r>
    </w:p>
    <w:p w:rsidR="00977CF2" w:rsidRDefault="00977CF2" w:rsidP="00977CF2">
      <w:pPr>
        <w:spacing w:line="360" w:lineRule="auto"/>
        <w:jc w:val="both"/>
        <w:rPr>
          <w:rtl/>
        </w:rPr>
      </w:pPr>
    </w:p>
    <w:p w:rsidR="00977CF2" w:rsidRDefault="00977CF2" w:rsidP="00977CF2">
      <w:pPr>
        <w:pStyle w:val="ae"/>
        <w:numPr>
          <w:ilvl w:val="0"/>
          <w:numId w:val="1"/>
        </w:numPr>
        <w:spacing w:line="360" w:lineRule="auto"/>
        <w:jc w:val="both"/>
        <w:rPr>
          <w:rtl/>
        </w:rPr>
      </w:pPr>
      <w:r>
        <w:rPr>
          <w:rFonts w:hint="cs"/>
          <w:rtl/>
        </w:rPr>
        <w:t>לאור שינוי הנסיבות שבא לידי ביטוי בעיקר בהפחתת הכנסת המשיב, עתר המשיב לביטול או הפחתת דמי המזונות כאמור.</w:t>
      </w:r>
    </w:p>
    <w:p w:rsidR="00977CF2" w:rsidRDefault="00977CF2" w:rsidP="00977CF2">
      <w:pPr>
        <w:spacing w:line="360" w:lineRule="auto"/>
        <w:jc w:val="both"/>
        <w:rPr>
          <w:rFonts w:ascii="David" w:hAnsi="David"/>
          <w:b/>
          <w:bCs/>
          <w:u w:val="single"/>
        </w:rPr>
      </w:pPr>
    </w:p>
    <w:p w:rsidR="00977CF2" w:rsidRDefault="00977CF2" w:rsidP="00977CF2">
      <w:pPr>
        <w:spacing w:line="360" w:lineRule="auto"/>
        <w:jc w:val="both"/>
        <w:rPr>
          <w:rFonts w:ascii="David" w:hAnsi="David"/>
          <w:b/>
          <w:bCs/>
          <w:u w:val="single"/>
          <w:rtl/>
        </w:rPr>
      </w:pPr>
      <w:r>
        <w:rPr>
          <w:rFonts w:ascii="David" w:hAnsi="David"/>
          <w:b/>
          <w:bCs/>
          <w:u w:val="single"/>
          <w:rtl/>
        </w:rPr>
        <w:t>עיקר טענות המבקשת בבקשה</w:t>
      </w:r>
    </w:p>
    <w:p w:rsidR="00977CF2" w:rsidRDefault="00977CF2" w:rsidP="00977CF2">
      <w:pPr>
        <w:spacing w:line="360" w:lineRule="auto"/>
        <w:jc w:val="both"/>
        <w:rPr>
          <w:rFonts w:ascii="David" w:hAnsi="David"/>
          <w:b/>
          <w:bCs/>
          <w:u w:val="single"/>
          <w:rtl/>
        </w:rPr>
      </w:pPr>
    </w:p>
    <w:p w:rsidR="00977CF2" w:rsidRDefault="00977CF2" w:rsidP="00977CF2">
      <w:pPr>
        <w:pStyle w:val="ae"/>
        <w:numPr>
          <w:ilvl w:val="0"/>
          <w:numId w:val="1"/>
        </w:numPr>
        <w:spacing w:line="360" w:lineRule="auto"/>
        <w:jc w:val="both"/>
      </w:pPr>
      <w:r>
        <w:rPr>
          <w:rFonts w:hint="cs"/>
          <w:rtl/>
        </w:rPr>
        <w:t xml:space="preserve">המשיב אינו משלם את דמי המזונות בהתאם להסכם בחוסר תום לב – </w:t>
      </w:r>
      <w:r>
        <w:rPr>
          <w:rFonts w:hint="cs"/>
          <w:b/>
          <w:bCs/>
          <w:rtl/>
        </w:rPr>
        <w:t>ראו: ס' 2 ו-13 לבקשה</w:t>
      </w:r>
      <w:r>
        <w:rPr>
          <w:rFonts w:hint="cs"/>
          <w:rtl/>
        </w:rPr>
        <w:t>, ועובדה זו מהווה עילה לסילוק התביעה על הסף.</w:t>
      </w:r>
    </w:p>
    <w:p w:rsidR="00977CF2" w:rsidRDefault="00977CF2" w:rsidP="00977CF2">
      <w:pPr>
        <w:spacing w:line="360" w:lineRule="auto"/>
        <w:jc w:val="both"/>
      </w:pPr>
    </w:p>
    <w:p w:rsidR="00977CF2" w:rsidRDefault="00977CF2" w:rsidP="00977CF2">
      <w:pPr>
        <w:pStyle w:val="ae"/>
        <w:numPr>
          <w:ilvl w:val="0"/>
          <w:numId w:val="1"/>
        </w:numPr>
        <w:spacing w:line="360" w:lineRule="auto"/>
        <w:jc w:val="both"/>
      </w:pPr>
      <w:r>
        <w:rPr>
          <w:rFonts w:hint="cs"/>
          <w:rtl/>
        </w:rPr>
        <w:t xml:space="preserve">הליך חדלות הפירעון נמחק ובוטל בשל חוסר תום הלב של המשיב, אשר ביקש לפגוע בזכות המבקשת והקטינים לקבל את חלף המזונות מהמל"ל – </w:t>
      </w:r>
      <w:r>
        <w:rPr>
          <w:rFonts w:hint="cs"/>
          <w:b/>
          <w:bCs/>
          <w:rtl/>
        </w:rPr>
        <w:t>ראו: ס' 15 לבקשה</w:t>
      </w:r>
      <w:r>
        <w:rPr>
          <w:rFonts w:hint="cs"/>
          <w:rtl/>
        </w:rPr>
        <w:t>;</w:t>
      </w:r>
    </w:p>
    <w:p w:rsidR="00977CF2" w:rsidRDefault="00977CF2" w:rsidP="00977CF2">
      <w:pPr>
        <w:pStyle w:val="ae"/>
        <w:spacing w:line="360" w:lineRule="auto"/>
      </w:pPr>
    </w:p>
    <w:p w:rsidR="00977CF2" w:rsidRDefault="00977CF2" w:rsidP="00977CF2">
      <w:pPr>
        <w:pStyle w:val="ae"/>
        <w:numPr>
          <w:ilvl w:val="0"/>
          <w:numId w:val="1"/>
        </w:numPr>
        <w:spacing w:line="360" w:lineRule="auto"/>
        <w:jc w:val="both"/>
        <w:rPr>
          <w:rtl/>
        </w:rPr>
      </w:pPr>
      <w:r>
        <w:rPr>
          <w:rFonts w:hint="cs"/>
          <w:rtl/>
        </w:rPr>
        <w:t xml:space="preserve">המשיב לא צירף לכתב התביעה אסמכתאות כגון: תדפיסי חשבון בנק/פירוט כרטיסי אשראי/תלושי שכר/ וכו' – </w:t>
      </w:r>
      <w:r>
        <w:rPr>
          <w:rFonts w:hint="cs"/>
          <w:b/>
          <w:bCs/>
          <w:rtl/>
        </w:rPr>
        <w:t>ראו: ס' 19 לבקשה</w:t>
      </w:r>
      <w:r>
        <w:rPr>
          <w:rFonts w:hint="cs"/>
          <w:rtl/>
        </w:rPr>
        <w:t>.</w:t>
      </w:r>
    </w:p>
    <w:p w:rsidR="00977CF2" w:rsidRDefault="00977CF2" w:rsidP="00977CF2">
      <w:pPr>
        <w:pStyle w:val="ae"/>
      </w:pPr>
    </w:p>
    <w:p w:rsidR="00977CF2" w:rsidRDefault="00977CF2" w:rsidP="00977CF2">
      <w:pPr>
        <w:spacing w:line="360" w:lineRule="auto"/>
        <w:jc w:val="both"/>
        <w:rPr>
          <w:rFonts w:ascii="David" w:hAnsi="David"/>
          <w:b/>
          <w:bCs/>
          <w:u w:val="single"/>
          <w:rtl/>
        </w:rPr>
      </w:pPr>
      <w:r>
        <w:rPr>
          <w:rFonts w:ascii="David" w:hAnsi="David"/>
          <w:b/>
          <w:bCs/>
          <w:u w:val="single"/>
          <w:rtl/>
        </w:rPr>
        <w:t>עיקר טענות המשיב בתגובה</w:t>
      </w:r>
    </w:p>
    <w:p w:rsidR="00977CF2" w:rsidRDefault="00977CF2" w:rsidP="00977CF2">
      <w:pPr>
        <w:pStyle w:val="ae"/>
        <w:spacing w:line="360" w:lineRule="auto"/>
      </w:pPr>
    </w:p>
    <w:p w:rsidR="00977CF2" w:rsidRDefault="00977CF2" w:rsidP="00977CF2">
      <w:pPr>
        <w:pStyle w:val="ae"/>
        <w:numPr>
          <w:ilvl w:val="0"/>
          <w:numId w:val="1"/>
        </w:numPr>
        <w:spacing w:line="360" w:lineRule="auto"/>
        <w:jc w:val="both"/>
        <w:rPr>
          <w:rtl/>
        </w:rPr>
      </w:pPr>
      <w:r>
        <w:rPr>
          <w:rFonts w:hint="cs"/>
          <w:rtl/>
        </w:rPr>
        <w:t xml:space="preserve">הבקשה עשויה לשלול לחלוטין את זכות המשיב לגישה לערכאות וזאת בשל מצבו הקשה – </w:t>
      </w:r>
      <w:r>
        <w:rPr>
          <w:rFonts w:hint="cs"/>
          <w:b/>
          <w:bCs/>
          <w:rtl/>
        </w:rPr>
        <w:t>ראו: ס' 1 לתגובה</w:t>
      </w:r>
      <w:r>
        <w:rPr>
          <w:rFonts w:hint="cs"/>
          <w:rtl/>
        </w:rPr>
        <w:t>.</w:t>
      </w:r>
    </w:p>
    <w:p w:rsidR="00977CF2" w:rsidRDefault="00977CF2" w:rsidP="00977CF2">
      <w:pPr>
        <w:pStyle w:val="ae"/>
        <w:spacing w:line="360" w:lineRule="auto"/>
        <w:jc w:val="both"/>
      </w:pPr>
    </w:p>
    <w:p w:rsidR="00977CF2" w:rsidRDefault="00977CF2" w:rsidP="00977CF2">
      <w:pPr>
        <w:pStyle w:val="ae"/>
        <w:numPr>
          <w:ilvl w:val="0"/>
          <w:numId w:val="1"/>
        </w:numPr>
        <w:spacing w:line="360" w:lineRule="auto"/>
        <w:jc w:val="both"/>
      </w:pPr>
      <w:r>
        <w:rPr>
          <w:rFonts w:hint="cs"/>
          <w:rtl/>
        </w:rPr>
        <w:t xml:space="preserve">בעת הכרעה בבקשה להפקדת ערובה, יש לפעול במשנה זהירות, בפרט כשמדובר באדם שאין לו יכולת כלכלית – </w:t>
      </w:r>
      <w:r>
        <w:rPr>
          <w:rFonts w:hint="cs"/>
          <w:b/>
          <w:bCs/>
          <w:rtl/>
        </w:rPr>
        <w:t>ראו: ס' 3 לתגובה</w:t>
      </w:r>
      <w:r>
        <w:rPr>
          <w:rFonts w:hint="cs"/>
          <w:rtl/>
        </w:rPr>
        <w:t>.</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lastRenderedPageBreak/>
        <w:t xml:space="preserve">התביעה היא תביעה לגיטימית בהתאם לשינוי הנסיבות שפורט בכתב התביעה – </w:t>
      </w:r>
      <w:r>
        <w:rPr>
          <w:rFonts w:hint="cs"/>
          <w:b/>
          <w:bCs/>
          <w:rtl/>
        </w:rPr>
        <w:t>ראו: ס' 6 לתגובה</w:t>
      </w:r>
      <w:r>
        <w:rPr>
          <w:rFonts w:hint="cs"/>
          <w:rtl/>
        </w:rPr>
        <w:t>.</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כחלק ממכלול השיקולים יש לבחון את סיכויי התביעה – </w:t>
      </w:r>
      <w:r>
        <w:rPr>
          <w:rFonts w:hint="cs"/>
          <w:b/>
          <w:bCs/>
          <w:rtl/>
        </w:rPr>
        <w:t>ראו: ס' 8 לתגובה</w:t>
      </w:r>
      <w:r>
        <w:rPr>
          <w:rFonts w:hint="cs"/>
          <w:rtl/>
        </w:rPr>
        <w:t>.</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סכום ההוצאות המבוקש, בסך של 23,000 ₪, אינו סביר לאור מצבו הכלכלי של המשיב – </w:t>
      </w:r>
      <w:r>
        <w:rPr>
          <w:rFonts w:hint="cs"/>
          <w:b/>
          <w:bCs/>
          <w:rtl/>
        </w:rPr>
        <w:t>ראו: ס' 10 לתגובה</w:t>
      </w:r>
      <w:r>
        <w:rPr>
          <w:rFonts w:hint="cs"/>
          <w:rtl/>
        </w:rPr>
        <w:t>.</w:t>
      </w:r>
    </w:p>
    <w:p w:rsidR="00977CF2" w:rsidRDefault="00977CF2" w:rsidP="00977CF2">
      <w:pPr>
        <w:pStyle w:val="ae"/>
      </w:pPr>
    </w:p>
    <w:p w:rsidR="00977CF2" w:rsidRDefault="00977CF2" w:rsidP="00977CF2">
      <w:pPr>
        <w:spacing w:line="360" w:lineRule="auto"/>
        <w:jc w:val="both"/>
        <w:rPr>
          <w:rFonts w:ascii="David" w:hAnsi="David"/>
          <w:b/>
          <w:bCs/>
          <w:u w:val="single"/>
          <w:rtl/>
        </w:rPr>
      </w:pPr>
      <w:r>
        <w:rPr>
          <w:rFonts w:ascii="David" w:hAnsi="David"/>
          <w:b/>
          <w:bCs/>
          <w:u w:val="single"/>
          <w:rtl/>
        </w:rPr>
        <w:t>הכרעה</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לאחר עיון בעמדות הצדדים, הגעתי למסקנה כי דין הבקשה להתקבל.</w:t>
      </w:r>
    </w:p>
    <w:p w:rsidR="00977CF2" w:rsidRDefault="00977CF2" w:rsidP="00977CF2">
      <w:pPr>
        <w:pStyle w:val="ae"/>
        <w:spacing w:line="360" w:lineRule="auto"/>
        <w:jc w:val="both"/>
      </w:pPr>
    </w:p>
    <w:p w:rsidR="00977CF2" w:rsidRDefault="00977CF2" w:rsidP="00977CF2">
      <w:pPr>
        <w:pStyle w:val="ae"/>
        <w:numPr>
          <w:ilvl w:val="0"/>
          <w:numId w:val="1"/>
        </w:numPr>
        <w:spacing w:line="360" w:lineRule="auto"/>
        <w:jc w:val="both"/>
      </w:pPr>
      <w:r>
        <w:rPr>
          <w:rFonts w:hint="cs"/>
          <w:rtl/>
        </w:rPr>
        <w:t>תקנה 157 (א) לתקנות סדר הדין האזרחי, התשע"ט–2018 (להלן: "</w:t>
      </w:r>
      <w:r>
        <w:rPr>
          <w:rFonts w:hint="cs"/>
          <w:b/>
          <w:bCs/>
          <w:rtl/>
        </w:rPr>
        <w:t>התקנות</w:t>
      </w:r>
      <w:r>
        <w:rPr>
          <w:rFonts w:hint="cs"/>
          <w:rtl/>
        </w:rPr>
        <w:t>") קובעת:</w:t>
      </w:r>
    </w:p>
    <w:p w:rsidR="00977CF2" w:rsidRDefault="00977CF2" w:rsidP="00977CF2">
      <w:pPr>
        <w:pStyle w:val="ae"/>
        <w:jc w:val="both"/>
      </w:pPr>
    </w:p>
    <w:p w:rsidR="00977CF2" w:rsidRDefault="00977CF2" w:rsidP="00977CF2">
      <w:pPr>
        <w:spacing w:line="360" w:lineRule="auto"/>
        <w:ind w:left="1076" w:right="993"/>
        <w:jc w:val="both"/>
        <w:rPr>
          <w:rFonts w:ascii="David" w:hAnsi="David"/>
          <w:rtl/>
        </w:rPr>
      </w:pPr>
      <w:r>
        <w:rPr>
          <w:rFonts w:ascii="David" w:hAnsi="David"/>
          <w:color w:val="000000"/>
          <w:shd w:val="clear" w:color="auto" w:fill="FFFFFF"/>
          <w:rtl/>
        </w:rPr>
        <w:t>"</w:t>
      </w:r>
      <w:r>
        <w:rPr>
          <w:rFonts w:ascii="David" w:hAnsi="David"/>
          <w:b/>
          <w:bCs/>
          <w:color w:val="000000"/>
          <w:shd w:val="clear" w:color="auto" w:fill="FFFFFF"/>
          <w:rtl/>
        </w:rPr>
        <w:t>בית המשפט רשאי, אם נראה לו הדבר, לצוות על תובע לתת ערובה לתשלום הוצאותיו של נתבע</w:t>
      </w:r>
      <w:r>
        <w:rPr>
          <w:rFonts w:ascii="David" w:hAnsi="David"/>
          <w:color w:val="000000"/>
          <w:shd w:val="clear" w:color="auto" w:fill="FFFFFF"/>
        </w:rPr>
        <w:t>"</w:t>
      </w:r>
      <w:r>
        <w:rPr>
          <w:rFonts w:ascii="David" w:hAnsi="David"/>
          <w:rtl/>
        </w:rPr>
        <w:t>.</w:t>
      </w:r>
    </w:p>
    <w:p w:rsidR="00977CF2" w:rsidRDefault="00977CF2" w:rsidP="00977CF2">
      <w:pPr>
        <w:pStyle w:val="ae"/>
        <w:jc w:val="both"/>
      </w:pPr>
    </w:p>
    <w:p w:rsidR="00977CF2" w:rsidRDefault="00977CF2" w:rsidP="00977CF2">
      <w:pPr>
        <w:pStyle w:val="ae"/>
        <w:numPr>
          <w:ilvl w:val="0"/>
          <w:numId w:val="1"/>
        </w:numPr>
        <w:spacing w:line="360" w:lineRule="auto"/>
        <w:jc w:val="both"/>
        <w:rPr>
          <w:rtl/>
        </w:rPr>
      </w:pPr>
      <w:r>
        <w:rPr>
          <w:rFonts w:hint="cs"/>
          <w:rtl/>
        </w:rPr>
        <w:t xml:space="preserve">ברע"א 5868/18 </w:t>
      </w:r>
      <w:r>
        <w:rPr>
          <w:rFonts w:hint="cs"/>
          <w:b/>
          <w:bCs/>
          <w:rtl/>
        </w:rPr>
        <w:t>צבי יעקב נ' עדית הוכהאוזר</w:t>
      </w:r>
      <w:r>
        <w:rPr>
          <w:rFonts w:hint="cs"/>
          <w:rtl/>
        </w:rPr>
        <w:t xml:space="preserve"> (23.12.2018) נפסק כי:</w:t>
      </w:r>
    </w:p>
    <w:p w:rsidR="00977CF2" w:rsidRDefault="00977CF2" w:rsidP="00977CF2">
      <w:pPr>
        <w:spacing w:line="360" w:lineRule="auto"/>
        <w:jc w:val="both"/>
      </w:pPr>
    </w:p>
    <w:p w:rsidR="00977CF2" w:rsidRPr="00977CF2" w:rsidRDefault="00977CF2" w:rsidP="00977CF2">
      <w:pPr>
        <w:spacing w:line="360" w:lineRule="auto"/>
        <w:ind w:left="1076" w:right="993"/>
        <w:jc w:val="both"/>
        <w:rPr>
          <w:rFonts w:ascii="David" w:hAnsi="David"/>
          <w:i/>
          <w:iCs/>
          <w:rtl/>
        </w:rPr>
      </w:pPr>
      <w:r w:rsidRPr="00977CF2">
        <w:rPr>
          <w:rFonts w:ascii="David" w:hAnsi="David"/>
          <w:i/>
          <w:iCs/>
          <w:rtl/>
        </w:rPr>
        <w:t>"לאור מעמדה של זכות הגישה לערכאות כזכות חוקתית חיוב בהפקדת ערובה ייעשה רק במקרים נדירים ובנסיבות חריגות – ולא בשל העדר יכולת כלכלית גרידא (</w:t>
      </w:r>
      <w:hyperlink r:id="rId10" w:history="1">
        <w:r w:rsidRPr="00977CF2">
          <w:rPr>
            <w:rStyle w:val="Hyperlink"/>
            <w:rFonts w:ascii="David" w:hAnsi="David"/>
            <w:i/>
            <w:iCs/>
            <w:color w:val="auto"/>
            <w:u w:val="none"/>
            <w:rtl/>
          </w:rPr>
          <w:t>רע"א 1572/14</w:t>
        </w:r>
      </w:hyperlink>
      <w:r w:rsidRPr="00977CF2">
        <w:rPr>
          <w:rFonts w:ascii="David" w:hAnsi="David"/>
          <w:i/>
          <w:iCs/>
          <w:rtl/>
        </w:rPr>
        <w:t xml:space="preserve"> </w:t>
      </w:r>
      <w:r w:rsidRPr="00977CF2">
        <w:rPr>
          <w:rFonts w:ascii="David" w:hAnsi="David" w:hint="cs"/>
          <w:b/>
          <w:i/>
          <w:iCs/>
          <w:rtl/>
        </w:rPr>
        <w:t>עזר נ' אמריקה-ישראל רמת אביב החדשה השקעות בע"מ</w:t>
      </w:r>
      <w:r w:rsidRPr="00977CF2">
        <w:rPr>
          <w:rFonts w:ascii="David" w:hAnsi="David" w:hint="cs"/>
          <w:i/>
          <w:iCs/>
          <w:rtl/>
        </w:rPr>
        <w:t xml:space="preserve">, [פורסם בנבו] פסקה 7 (14.7.2014) (להלן: עניין </w:t>
      </w:r>
      <w:r w:rsidRPr="00977CF2">
        <w:rPr>
          <w:rFonts w:ascii="David" w:hAnsi="David" w:hint="cs"/>
          <w:b/>
          <w:i/>
          <w:iCs/>
          <w:rtl/>
        </w:rPr>
        <w:t>עזר</w:t>
      </w:r>
      <w:r w:rsidRPr="00977CF2">
        <w:rPr>
          <w:rFonts w:ascii="David" w:hAnsi="David" w:hint="cs"/>
          <w:i/>
          <w:iCs/>
          <w:rtl/>
        </w:rPr>
        <w:t xml:space="preserve">); </w:t>
      </w:r>
      <w:hyperlink r:id="rId11" w:history="1">
        <w:r w:rsidRPr="00977CF2">
          <w:rPr>
            <w:rStyle w:val="Hyperlink"/>
            <w:rFonts w:ascii="David" w:hAnsi="David"/>
            <w:i/>
            <w:iCs/>
            <w:color w:val="auto"/>
            <w:u w:val="none"/>
            <w:rtl/>
          </w:rPr>
          <w:t>רע"א 6353/12</w:t>
        </w:r>
      </w:hyperlink>
      <w:r w:rsidRPr="00977CF2">
        <w:rPr>
          <w:rFonts w:ascii="David" w:hAnsi="David"/>
          <w:i/>
          <w:iCs/>
          <w:rtl/>
        </w:rPr>
        <w:t xml:space="preserve"> </w:t>
      </w:r>
      <w:r w:rsidRPr="00977CF2">
        <w:rPr>
          <w:rFonts w:ascii="David" w:hAnsi="David" w:hint="cs"/>
          <w:b/>
          <w:i/>
          <w:iCs/>
          <w:rtl/>
        </w:rPr>
        <w:t>אברהם נ' יגרמן</w:t>
      </w:r>
      <w:r w:rsidRPr="00977CF2">
        <w:rPr>
          <w:rFonts w:ascii="David" w:hAnsi="David" w:hint="cs"/>
          <w:i/>
          <w:iCs/>
          <w:rtl/>
        </w:rPr>
        <w:t xml:space="preserve">, [פורסם בנבו] פסקה 5 (16.1.2013) (להלן: עניין </w:t>
      </w:r>
      <w:r w:rsidRPr="00977CF2">
        <w:rPr>
          <w:rFonts w:ascii="David" w:hAnsi="David" w:hint="cs"/>
          <w:b/>
          <w:i/>
          <w:iCs/>
          <w:rtl/>
        </w:rPr>
        <w:t>אברהם</w:t>
      </w:r>
      <w:r w:rsidRPr="00977CF2">
        <w:rPr>
          <w:rFonts w:ascii="David" w:hAnsi="David" w:hint="cs"/>
          <w:i/>
          <w:iCs/>
          <w:rtl/>
        </w:rPr>
        <w:t>)). עם זאת, בשל הצורך לשמור על אינטרס הנתבע להבטחת הוצאותיו, ניתן לחייב הפקדת ערובה כאשר סיכויי התביעה נמוכים או מדובר בתביעת סרק (</w:t>
      </w:r>
      <w:hyperlink r:id="rId12" w:history="1">
        <w:r w:rsidRPr="00977CF2">
          <w:rPr>
            <w:rStyle w:val="Hyperlink"/>
            <w:rFonts w:ascii="David" w:hAnsi="David"/>
            <w:i/>
            <w:iCs/>
            <w:color w:val="auto"/>
            <w:u w:val="none"/>
            <w:rtl/>
          </w:rPr>
          <w:t>רע"א 4037/12</w:t>
        </w:r>
      </w:hyperlink>
      <w:r w:rsidRPr="00977CF2">
        <w:rPr>
          <w:rFonts w:ascii="David" w:hAnsi="David"/>
          <w:i/>
          <w:iCs/>
          <w:rtl/>
        </w:rPr>
        <w:t xml:space="preserve"> </w:t>
      </w:r>
      <w:r w:rsidRPr="00977CF2">
        <w:rPr>
          <w:rFonts w:ascii="David" w:hAnsi="David" w:hint="cs"/>
          <w:b/>
          <w:i/>
          <w:iCs/>
          <w:rtl/>
        </w:rPr>
        <w:t>סופר-סייג נ' ארז מנהל מיוחד</w:t>
      </w:r>
      <w:r w:rsidRPr="00977CF2">
        <w:rPr>
          <w:rFonts w:ascii="David" w:hAnsi="David" w:hint="cs"/>
          <w:i/>
          <w:iCs/>
          <w:rtl/>
        </w:rPr>
        <w:t>, [פורסם בנבו] פסקה 6 (18.10.2012))".</w:t>
      </w:r>
    </w:p>
    <w:p w:rsidR="00977CF2" w:rsidRDefault="00977CF2" w:rsidP="00977CF2">
      <w:pPr>
        <w:spacing w:line="360" w:lineRule="auto"/>
        <w:ind w:left="1076" w:right="993"/>
        <w:jc w:val="both"/>
        <w:rPr>
          <w:rFonts w:ascii="David" w:hAnsi="David"/>
          <w:i/>
          <w:iCs/>
          <w:rtl/>
        </w:rPr>
      </w:pPr>
    </w:p>
    <w:p w:rsidR="00977CF2" w:rsidRPr="00977CF2" w:rsidRDefault="00977CF2" w:rsidP="00977CF2">
      <w:pPr>
        <w:pStyle w:val="ae"/>
        <w:numPr>
          <w:ilvl w:val="0"/>
          <w:numId w:val="1"/>
        </w:numPr>
        <w:spacing w:line="360" w:lineRule="auto"/>
        <w:jc w:val="both"/>
        <w:rPr>
          <w:rtl/>
        </w:rPr>
      </w:pPr>
      <w:r>
        <w:rPr>
          <w:rFonts w:hint="cs"/>
          <w:rtl/>
        </w:rPr>
        <w:t xml:space="preserve">כידוע, השיקולים המנחים שעל בית המשפט להביא בחשבון בבואו להורות על הפקדת ערובה הם, בין היתר, מצבו הכלכלי של התובע, סיכויי התביעה, מורכבות ההליך, זהות הצדדים, </w:t>
      </w:r>
      <w:r w:rsidRPr="00977CF2">
        <w:rPr>
          <w:rFonts w:hint="cs"/>
          <w:rtl/>
        </w:rPr>
        <w:t xml:space="preserve">התנהלותם ותום לבם – </w:t>
      </w:r>
      <w:r w:rsidRPr="00977CF2">
        <w:rPr>
          <w:rFonts w:hint="cs"/>
          <w:b/>
          <w:bCs/>
          <w:rtl/>
        </w:rPr>
        <w:t>ראו</w:t>
      </w:r>
      <w:r w:rsidRPr="00977CF2">
        <w:rPr>
          <w:rFonts w:hint="cs"/>
          <w:rtl/>
        </w:rPr>
        <w:t xml:space="preserve">: </w:t>
      </w:r>
      <w:hyperlink r:id="rId13" w:history="1">
        <w:r w:rsidRPr="00977CF2">
          <w:rPr>
            <w:rStyle w:val="Hyperlink"/>
            <w:rFonts w:hint="cs"/>
            <w:color w:val="auto"/>
            <w:u w:val="none"/>
            <w:rtl/>
          </w:rPr>
          <w:t>רע"א 10142/17</w:t>
        </w:r>
      </w:hyperlink>
      <w:r w:rsidRPr="00977CF2">
        <w:t xml:space="preserve"> </w:t>
      </w:r>
      <w:r w:rsidRPr="00977CF2">
        <w:rPr>
          <w:rFonts w:hint="cs"/>
          <w:b/>
          <w:bCs/>
          <w:rtl/>
        </w:rPr>
        <w:t>עודד גולד נ' עמנואל ברגמן</w:t>
      </w:r>
      <w:r w:rsidRPr="00977CF2">
        <w:rPr>
          <w:rFonts w:hint="cs"/>
          <w:rtl/>
        </w:rPr>
        <w:t xml:space="preserve"> (28.1.2018).</w:t>
      </w:r>
    </w:p>
    <w:p w:rsidR="00977CF2" w:rsidRDefault="00977CF2" w:rsidP="00977CF2">
      <w:pPr>
        <w:pStyle w:val="ae"/>
        <w:spacing w:line="360" w:lineRule="auto"/>
        <w:jc w:val="both"/>
        <w:rPr>
          <w:rtl/>
        </w:rPr>
      </w:pPr>
    </w:p>
    <w:p w:rsidR="00977CF2" w:rsidRDefault="00977CF2" w:rsidP="00977CF2">
      <w:pPr>
        <w:pStyle w:val="ae"/>
        <w:spacing w:line="360" w:lineRule="auto"/>
        <w:jc w:val="both"/>
      </w:pPr>
    </w:p>
    <w:p w:rsidR="00977CF2" w:rsidRDefault="00977CF2" w:rsidP="00977CF2">
      <w:pPr>
        <w:pStyle w:val="ae"/>
        <w:numPr>
          <w:ilvl w:val="0"/>
          <w:numId w:val="1"/>
        </w:numPr>
        <w:spacing w:line="360" w:lineRule="auto"/>
        <w:jc w:val="both"/>
        <w:rPr>
          <w:rtl/>
        </w:rPr>
      </w:pPr>
      <w:r>
        <w:rPr>
          <w:rFonts w:hint="cs"/>
          <w:rtl/>
        </w:rPr>
        <w:lastRenderedPageBreak/>
        <w:t xml:space="preserve">במקרה שלפניי, במסגרת התגובה, המשיב לא הכחיש את הטענה כי הוא אינו נושא בתשלום מזונות הקטינים. נפסק כי אדם שאינו משלם מזונות ילדיו הקטין, אינו רשאי לבוא לפני בית המשפט ולעתור להפחתת סכום המזונות שאינו משולם על ידו ממילא </w:t>
      </w:r>
      <w:r>
        <w:rPr>
          <w:rFonts w:hint="cs"/>
          <w:b/>
          <w:bCs/>
          <w:rtl/>
        </w:rPr>
        <w:t>– ראו</w:t>
      </w:r>
      <w:r>
        <w:rPr>
          <w:rFonts w:hint="cs"/>
          <w:rtl/>
        </w:rPr>
        <w:t xml:space="preserve">: תמ"ש 55411-11-12 </w:t>
      </w:r>
      <w:r>
        <w:rPr>
          <w:rFonts w:hint="cs"/>
          <w:b/>
          <w:bCs/>
          <w:rtl/>
        </w:rPr>
        <w:t>א.ב.ד. נ' ס.ב.ד.</w:t>
      </w:r>
      <w:r>
        <w:rPr>
          <w:rFonts w:hint="cs"/>
          <w:rtl/>
        </w:rPr>
        <w:t xml:space="preserve"> (16.2.2016); תלה"מ</w:t>
      </w:r>
      <w:r>
        <w:rPr>
          <w:rFonts w:hint="cs"/>
          <w:b/>
          <w:bCs/>
          <w:rtl/>
        </w:rPr>
        <w:t xml:space="preserve"> </w:t>
      </w:r>
      <w:r>
        <w:rPr>
          <w:rFonts w:hint="cs"/>
          <w:rtl/>
        </w:rPr>
        <w:t>63887-05-18</w:t>
      </w:r>
      <w:r>
        <w:rPr>
          <w:rFonts w:hint="cs"/>
          <w:b/>
          <w:bCs/>
          <w:rtl/>
        </w:rPr>
        <w:t xml:space="preserve"> מ.מ. נ' ק.מ. </w:t>
      </w:r>
      <w:r>
        <w:rPr>
          <w:rFonts w:hint="cs"/>
          <w:rtl/>
        </w:rPr>
        <w:t>(24.2.2020).</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במקום אחר נפסק כי יש לסלק על הסף תביעה להפחתת דמי מזונות שמוגשת על ידי מי שאינו משלם מזונות אלה – </w:t>
      </w:r>
      <w:r>
        <w:rPr>
          <w:rFonts w:hint="cs"/>
          <w:b/>
          <w:bCs/>
          <w:rtl/>
        </w:rPr>
        <w:t>ראו</w:t>
      </w:r>
      <w:r>
        <w:rPr>
          <w:rFonts w:hint="cs"/>
          <w:rtl/>
        </w:rPr>
        <w:t>: תלה"מ 61994-11-19</w:t>
      </w:r>
      <w:r>
        <w:rPr>
          <w:rFonts w:hint="cs"/>
          <w:b/>
          <w:bCs/>
          <w:rtl/>
        </w:rPr>
        <w:t xml:space="preserve"> פלוני נ' אלמונית</w:t>
      </w:r>
      <w:r>
        <w:rPr>
          <w:rFonts w:hint="cs"/>
          <w:rtl/>
        </w:rPr>
        <w:t xml:space="preserve"> (18.3.2020).</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על יסוד פסיקה זו וכאשר המשיב לא הכחיש את הטענה כי הוא אינו משלם את דמי המזונות, ניתן להניח כי סיכויי התביעה, על פני הדברים, אינם גבוהים במיוחד.</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זאת ועוד, בתביעה לשינוי סכום המזונות, יש להוכיח שינוי נסיבות מהותי – </w:t>
      </w:r>
      <w:r>
        <w:rPr>
          <w:rFonts w:hint="cs"/>
          <w:b/>
          <w:bCs/>
          <w:rtl/>
        </w:rPr>
        <w:t>ראו</w:t>
      </w:r>
      <w:r>
        <w:rPr>
          <w:rFonts w:hint="cs"/>
          <w:rtl/>
        </w:rPr>
        <w:t xml:space="preserve"> </w:t>
      </w:r>
      <w:r>
        <w:rPr>
          <w:rFonts w:hint="cs"/>
          <w:b/>
          <w:bCs/>
          <w:rtl/>
        </w:rPr>
        <w:t>סיכום ההלכה בעניין זה</w:t>
      </w:r>
      <w:r>
        <w:rPr>
          <w:rFonts w:hint="cs"/>
          <w:rtl/>
        </w:rPr>
        <w:t xml:space="preserve">: רמ"ש 17013-02-24 </w:t>
      </w:r>
      <w:r>
        <w:rPr>
          <w:rFonts w:hint="cs"/>
          <w:b/>
          <w:bCs/>
          <w:rtl/>
        </w:rPr>
        <w:t>א.ק. נ' א.ק.</w:t>
      </w:r>
      <w:r>
        <w:rPr>
          <w:rFonts w:hint="cs"/>
          <w:rtl/>
        </w:rPr>
        <w:t xml:space="preserve"> (19.3.2024).</w:t>
      </w:r>
    </w:p>
    <w:p w:rsidR="00977CF2" w:rsidRDefault="00977CF2" w:rsidP="00977CF2">
      <w:pPr>
        <w:pStyle w:val="ae"/>
      </w:pPr>
    </w:p>
    <w:p w:rsidR="00977CF2" w:rsidRDefault="00977CF2" w:rsidP="00AA1498">
      <w:pPr>
        <w:pStyle w:val="ae"/>
        <w:numPr>
          <w:ilvl w:val="0"/>
          <w:numId w:val="1"/>
        </w:numPr>
        <w:spacing w:line="360" w:lineRule="auto"/>
        <w:jc w:val="both"/>
        <w:rPr>
          <w:rtl/>
        </w:rPr>
      </w:pPr>
      <w:r>
        <w:rPr>
          <w:rFonts w:hint="cs"/>
          <w:rtl/>
        </w:rPr>
        <w:t xml:space="preserve">טענת המשיב כי הוא העתיק את מקום מגוריו לעיר </w:t>
      </w:r>
      <w:r w:rsidR="00AA1498">
        <w:rPr>
          <w:rFonts w:hint="cs"/>
        </w:rPr>
        <w:t>XXX</w:t>
      </w:r>
      <w:r>
        <w:rPr>
          <w:rFonts w:hint="cs"/>
          <w:rtl/>
        </w:rPr>
        <w:t xml:space="preserve"> אינה מהווה שינוי נסיבות מהותי, שכן מדובר בשינוי שהוא פרי יוזמתו של המשיב כך שלא יכולה לעמוד לו הטענה כי מדובר בשינוי נסיבות לא צפוי – </w:t>
      </w:r>
      <w:r>
        <w:rPr>
          <w:rFonts w:hint="cs"/>
          <w:b/>
          <w:bCs/>
          <w:rtl/>
        </w:rPr>
        <w:t>ראו</w:t>
      </w:r>
      <w:r>
        <w:rPr>
          <w:rFonts w:hint="cs"/>
          <w:rtl/>
        </w:rPr>
        <w:t xml:space="preserve">: תלה"מ 61565-03-21 </w:t>
      </w:r>
      <w:r>
        <w:rPr>
          <w:rFonts w:hint="cs"/>
          <w:b/>
          <w:bCs/>
          <w:rtl/>
        </w:rPr>
        <w:t>פלוני נ' אלמונית</w:t>
      </w:r>
      <w:r>
        <w:rPr>
          <w:rFonts w:hint="cs"/>
          <w:rtl/>
        </w:rPr>
        <w:t xml:space="preserve"> (8.12.2023). </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טענת המשיב כי הכנסתו פחתה באופן משמעותי, אינה מהווה שינוי נסיבות מהותי לנוכח טענת המשיב כי בכוונתו למצוא מקום עבודה מסודר, אשר יקנה לו הכנסה קבועה ממנה יוכל לחיות בכבוד – </w:t>
      </w:r>
      <w:r>
        <w:rPr>
          <w:rFonts w:hint="cs"/>
          <w:b/>
          <w:bCs/>
          <w:rtl/>
        </w:rPr>
        <w:t>ראו: ס' 18 לכתב התביעה</w:t>
      </w:r>
      <w:r>
        <w:rPr>
          <w:rFonts w:hint="cs"/>
          <w:rtl/>
        </w:rPr>
        <w:t>.</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המשיב אכן לא צירף לכתב התביעה הכנסות בגין 12 חודשים שקדמו להגשת התביעה כמצוות תקנה 12 (ב) (1) לתקנות בית המשפט לענייני משפחה (סדרי דין), התשפ"א–2020, ותחת אישורי השתכרות אלה צירף המשיב אישור לקבלת גמלת הבטחת הכנסה בגין שנת 2023, והוא הדין ביחס לתדפיסי חשבון הבנק של המשיב.</w:t>
      </w:r>
    </w:p>
    <w:p w:rsidR="00977CF2" w:rsidRDefault="00977CF2" w:rsidP="00977CF2">
      <w:pPr>
        <w:pStyle w:val="ae"/>
      </w:pPr>
    </w:p>
    <w:p w:rsidR="00977CF2" w:rsidRPr="00977CF2" w:rsidRDefault="00977CF2" w:rsidP="00977CF2">
      <w:pPr>
        <w:pStyle w:val="ae"/>
        <w:numPr>
          <w:ilvl w:val="0"/>
          <w:numId w:val="1"/>
        </w:numPr>
        <w:spacing w:line="360" w:lineRule="auto"/>
        <w:jc w:val="both"/>
        <w:rPr>
          <w:rtl/>
        </w:rPr>
      </w:pPr>
      <w:r w:rsidRPr="00977CF2">
        <w:rPr>
          <w:rFonts w:hint="cs"/>
          <w:rtl/>
        </w:rPr>
        <w:t xml:space="preserve">הלכה היא כי על המבקש להפחית חיוב במזונות חלה חובה מוגברת לפעול בתום לב, לבוא בידיים נקיות ו'לשחק בקלפים גלויים' בכל הקשור למצבו הכלכלי – </w:t>
      </w:r>
      <w:r w:rsidRPr="00977CF2">
        <w:rPr>
          <w:rFonts w:hint="cs"/>
          <w:b/>
          <w:bCs/>
          <w:rtl/>
        </w:rPr>
        <w:t>ראו</w:t>
      </w:r>
      <w:r w:rsidRPr="00977CF2">
        <w:rPr>
          <w:rFonts w:hint="cs"/>
          <w:rtl/>
        </w:rPr>
        <w:t xml:space="preserve">: </w:t>
      </w:r>
      <w:hyperlink r:id="rId14" w:history="1">
        <w:r w:rsidRPr="00977CF2">
          <w:rPr>
            <w:rStyle w:val="Hyperlink"/>
            <w:rFonts w:hint="cs"/>
            <w:color w:val="auto"/>
            <w:u w:val="none"/>
            <w:rtl/>
          </w:rPr>
          <w:t>עמ"ש 53288-03-18</w:t>
        </w:r>
      </w:hyperlink>
      <w:r w:rsidRPr="00977CF2">
        <w:rPr>
          <w:rtl/>
        </w:rPr>
        <w:t xml:space="preserve"> </w:t>
      </w:r>
      <w:r w:rsidRPr="00977CF2">
        <w:rPr>
          <w:rFonts w:hint="cs"/>
          <w:b/>
          <w:bCs/>
          <w:rtl/>
        </w:rPr>
        <w:t>פלוני נ' פלונית</w:t>
      </w:r>
      <w:r w:rsidRPr="00977CF2">
        <w:rPr>
          <w:rFonts w:hint="cs"/>
          <w:rtl/>
        </w:rPr>
        <w:t xml:space="preserve"> (13.11.2018); תמ"ש 3402-09-21</w:t>
      </w:r>
      <w:r w:rsidRPr="00977CF2">
        <w:rPr>
          <w:rFonts w:hint="cs"/>
          <w:b/>
          <w:bCs/>
          <w:rtl/>
        </w:rPr>
        <w:t xml:space="preserve"> ג נ' ו.ג</w:t>
      </w:r>
      <w:r w:rsidRPr="00977CF2">
        <w:rPr>
          <w:rFonts w:hint="cs"/>
          <w:rtl/>
        </w:rPr>
        <w:t xml:space="preserve"> (3.3.2024).</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למותר לציין כי במסגרת התגובה, המשיב לא הכחיש את הטענה כי הליך החדל"פ נמחק ובוטל בשל חוסר תום לבו של המשיב.</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על יסוד כל אלה, כאשר הגעתי למסקנה כי  לכאורה, סיכויי התביעה אינם גבוהים במיוחד, וכאשר המשיב הגיש את התביעה באופן נגוע בחוסר תום לב, הגעתי למסקנה כי התקיימו תנאים להורות על הפקדת ערובה. </w:t>
      </w:r>
    </w:p>
    <w:p w:rsidR="00977CF2" w:rsidRDefault="00977CF2" w:rsidP="00977CF2">
      <w:pPr>
        <w:pStyle w:val="ae"/>
        <w:numPr>
          <w:ilvl w:val="0"/>
          <w:numId w:val="1"/>
        </w:numPr>
        <w:spacing w:line="360" w:lineRule="auto"/>
        <w:jc w:val="both"/>
        <w:rPr>
          <w:rtl/>
        </w:rPr>
      </w:pPr>
      <w:r>
        <w:rPr>
          <w:rFonts w:hint="cs"/>
          <w:rtl/>
        </w:rPr>
        <w:lastRenderedPageBreak/>
        <w:t xml:space="preserve">ביחס למצבו הכלכלי של המשיב, הרי שזה האחרון לא הניח תשתית מספקת כמפורט לעיל, ובשל מחדל זה, לא ניתן לקבוע מהו מצבו הכלכלי של המשיב. </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ביחס לגובה הערובה – המבקשת עתרה לחייב את המשיב בערובה בסך שלא יפחת מ-23,000 ₪ </w:t>
      </w:r>
      <w:r>
        <w:rPr>
          <w:rFonts w:hint="cs"/>
          <w:b/>
          <w:bCs/>
          <w:rtl/>
        </w:rPr>
        <w:t>- ראו: ס' 28 לבקשה</w:t>
      </w:r>
      <w:r>
        <w:rPr>
          <w:rFonts w:hint="cs"/>
          <w:rtl/>
        </w:rPr>
        <w:t>. המבקשת לא הבהירה מדוע היא עותרת להפקדת ערובה בסך זה דווקא ולא צירפה כל אסמכתה בעניין זה.</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 xml:space="preserve">לאור זאת, וכאשר סבורני כי מדובר בהליך שאינו מורכב במיוחד, מצאתי מקום לחייב את המשיב בערובה בסך של 10,000 ₪. הערובה תופקד בתוך 30 ימים שאם לא כן, יימחק ההליך – </w:t>
      </w:r>
      <w:r>
        <w:rPr>
          <w:rFonts w:hint="cs"/>
          <w:b/>
          <w:bCs/>
          <w:rtl/>
        </w:rPr>
        <w:t>ראו: תקנה 157 לתקנות</w:t>
      </w:r>
      <w:r>
        <w:rPr>
          <w:rFonts w:hint="cs"/>
          <w:rtl/>
        </w:rPr>
        <w:t>.</w:t>
      </w:r>
    </w:p>
    <w:p w:rsidR="00977CF2" w:rsidRDefault="00977CF2" w:rsidP="00977CF2">
      <w:pPr>
        <w:pStyle w:val="ae"/>
      </w:pPr>
    </w:p>
    <w:p w:rsidR="00977CF2" w:rsidRDefault="00977CF2" w:rsidP="00977CF2">
      <w:pPr>
        <w:pStyle w:val="ae"/>
        <w:numPr>
          <w:ilvl w:val="0"/>
          <w:numId w:val="1"/>
        </w:numPr>
        <w:spacing w:line="360" w:lineRule="auto"/>
        <w:jc w:val="both"/>
        <w:rPr>
          <w:rtl/>
        </w:rPr>
      </w:pPr>
      <w:r>
        <w:rPr>
          <w:rFonts w:hint="cs"/>
          <w:rtl/>
        </w:rPr>
        <w:t>לאור התוצאה, המשיב יישא גם בהוצאות משפט בסך של 1,000 ₪.</w:t>
      </w:r>
    </w:p>
    <w:p w:rsidR="00AA1498" w:rsidRDefault="00AA1498" w:rsidP="00AA1498">
      <w:pPr>
        <w:spacing w:line="360" w:lineRule="auto"/>
        <w:jc w:val="both"/>
        <w:rPr>
          <w:rFonts w:ascii="David" w:eastAsia="David" w:hAnsi="David"/>
          <w:noProof w:val="0"/>
          <w:rtl/>
        </w:rPr>
      </w:pPr>
    </w:p>
    <w:p w:rsidR="00977CF2" w:rsidRPr="00E47E97" w:rsidRDefault="00E47E97" w:rsidP="00E47E97">
      <w:pPr>
        <w:spacing w:line="360" w:lineRule="auto"/>
        <w:jc w:val="both"/>
        <w:rPr>
          <w:b/>
          <w:bCs/>
        </w:rPr>
      </w:pPr>
      <w:r w:rsidRPr="00E47E97">
        <w:rPr>
          <w:rFonts w:ascii="David" w:eastAsia="David" w:hAnsi="David" w:hint="cs"/>
          <w:b/>
          <w:bCs/>
          <w:noProof w:val="0"/>
          <w:rtl/>
        </w:rPr>
        <w:t>מתיר את פרסום ההחלטה לאחר השמטת פרטים מזהים.</w:t>
      </w:r>
    </w:p>
    <w:p w:rsidR="00977CF2" w:rsidRDefault="00977CF2" w:rsidP="00977CF2">
      <w:pPr>
        <w:pStyle w:val="ae"/>
        <w:spacing w:line="360" w:lineRule="auto"/>
        <w:rPr>
          <w:b/>
          <w:bCs/>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23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431094226"/>
        </w:sdtPr>
        <w:sdtEndPr/>
        <w:sdtContent>
          <w:r w:rsidR="00F8212A">
            <w:drawing>
              <wp:inline distT="0" distB="0" distL="0" distR="0" wp14:editId="50D07946">
                <wp:extent cx="182880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828800" cy="733425"/>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977CF2">
      <w:headerReference w:type="even" r:id="rId16"/>
      <w:headerReference w:type="default" r:id="rId17"/>
      <w:footerReference w:type="even" r:id="rId18"/>
      <w:footerReference w:type="default" r:id="rId19"/>
      <w:headerReference w:type="first" r:id="rId20"/>
      <w:footerReference w:type="first" r:id="rId21"/>
      <w:pgSz w:w="11907" w:h="16840" w:code="9"/>
      <w:pgMar w:top="1701" w:right="1701" w:bottom="170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B9D" w:rsidRDefault="00D64B9D">
      <w:r>
        <w:separator/>
      </w:r>
    </w:p>
  </w:endnote>
  <w:endnote w:type="continuationSeparator" w:id="0">
    <w:p w:rsidR="00D64B9D" w:rsidRDefault="00D64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7B" w:rsidRDefault="00DC097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C097B">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C097B">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7B" w:rsidRDefault="00DC097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B9D" w:rsidRDefault="00D64B9D">
      <w:r>
        <w:separator/>
      </w:r>
    </w:p>
  </w:footnote>
  <w:footnote w:type="continuationSeparator" w:id="0">
    <w:p w:rsidR="00D64B9D" w:rsidRDefault="00D64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7B" w:rsidRDefault="00DC097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23 ספטמבר 2024</w:t>
              </w:r>
            </w:p>
          </w:tc>
        </w:sdtContent>
      </w:sdt>
    </w:tr>
    <w:tr w:rsidR="002914D6">
      <w:trPr>
        <w:trHeight w:val="337"/>
        <w:jc w:val="center"/>
      </w:trPr>
      <w:tc>
        <w:tcPr>
          <w:tcW w:w="8721" w:type="dxa"/>
          <w:gridSpan w:val="2"/>
        </w:tcPr>
        <w:p w:rsidR="002914D6" w:rsidRDefault="00D64B9D" w:rsidP="005416D6">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54446-05-24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5416D6">
                <w:rPr>
                  <w:rFonts w:hint="cs"/>
                  <w:b/>
                  <w:bCs/>
                  <w:noProof w:val="0"/>
                  <w:sz w:val="26"/>
                  <w:szCs w:val="26"/>
                  <w:rtl/>
                </w:rPr>
                <w:t>פלונית נ' פלוני</w:t>
              </w:r>
            </w:sdtContent>
          </w:sdt>
        </w:p>
        <w:p w:rsidR="002914D6" w:rsidRDefault="002914D6">
          <w:pPr>
            <w:rPr>
              <w:rtl/>
            </w:rPr>
          </w:pPr>
        </w:p>
        <w:p w:rsidR="00DB69DC" w:rsidRDefault="00DB69DC">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097B" w:rsidRDefault="00DC097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2614C"/>
    <w:multiLevelType w:val="hybridMultilevel"/>
    <w:tmpl w:val="1394869E"/>
    <w:lvl w:ilvl="0" w:tplc="0624FE4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07C32F1"/>
    <w:multiLevelType w:val="hybridMultilevel"/>
    <w:tmpl w:val="17404F06"/>
    <w:lvl w:ilvl="0" w:tplc="E9BA04C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4779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47796&amp;lt;/CaseID&amp;gt;_x000d__x000a_        &amp;lt;CaseMonth&amp;gt;5&amp;lt;/CaseMonth&amp;gt;_x000d__x000a_        &amp;lt;CaseYear&amp;gt;2024&amp;lt;/CaseYear&amp;gt;_x000d__x000a_        &amp;lt;CaseNumber&amp;gt;54446&amp;lt;/CaseNumber&amp;gt;_x000d__x000a_        &amp;lt;NumeratorGroupID&amp;gt;1&amp;lt;/NumeratorGroupID&amp;gt;_x000d__x000a_        &amp;lt;CaseName&amp;gt;חן נ&amp;#39; אליסף&amp;lt;/CaseName&amp;gt;_x000d__x000a_        &amp;lt;CourtID&amp;gt;30&amp;lt;/CourtID&amp;gt;_x000d__x000a_        &amp;lt;CaseTypeID&amp;gt;15&amp;lt;/CaseTypeID&amp;gt;_x000d__x000a_        &amp;lt;CaseInterestID&amp;gt;1011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46-05-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1&amp;lt;/CaseNextDeterminingTask&amp;gt;_x000d__x000a_        &amp;lt;TemporaryAidStatus&amp;gt;קיימות בקשות לסעדים זמניים בתיק&amp;lt;/TemporaryAidStatus&amp;gt;_x000d__x000a_        &amp;lt;CaseOpenDate&amp;gt;2024-05-22T12:32: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47796&amp;lt;/CaseID&amp;gt;_x000d__x000a_        &amp;lt;CaseMonth&amp;gt;5&amp;lt;/CaseMonth&amp;gt;_x000d__x000a_        &amp;lt;CaseYear&amp;gt;2024&amp;lt;/CaseYear&amp;gt;_x000d__x000a_        &amp;lt;CaseNumber&amp;gt;54446&amp;lt;/CaseNumber&amp;gt;_x000d__x000a_        &amp;lt;NumeratorGroupID&amp;gt;1&amp;lt;/NumeratorGroupID&amp;gt;_x000d__x000a_        &amp;lt;CaseName&amp;gt;חן נ&amp;#39; אליסף&amp;lt;/CaseName&amp;gt;_x000d__x000a_        &amp;lt;CourtID&amp;gt;30&amp;lt;/CourtID&amp;gt;_x000d__x000a_        &amp;lt;CaseTypeID&amp;gt;15&amp;lt;/CaseTypeID&amp;gt;_x000d__x000a_        &amp;lt;CaseInterestID&amp;gt;10118&amp;lt;/CaseInterestID&amp;gt;_x000d__x000a_        &amp;lt;CaseJudgeName&amp;gt;פליקס גורודצק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4446-05-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5-22T12:32:00+03:00&amp;lt;/CaseOpenDate&amp;gt;_x000d__x000a_        &amp;lt;PleaTypeID&amp;gt;4&amp;lt;/PleaTypeID&amp;gt;_x000d__x000a_        &amp;lt;CourtLevelID&amp;gt;1&amp;lt;/CourtLevelID&amp;gt;_x000d__x000a_        &amp;lt;CourtLevelCaseTypeInterestID&amp;gt;101&amp;lt;/CourtLevelCaseTypeInterestID&amp;gt;_x000d__x000a_        &amp;lt;CaseJudgeFirstName&amp;gt;פליקס&amp;lt;/CaseJudgeFirstName&amp;gt;_x000d__x000a_        &amp;lt;CaseJudgeLastName&amp;gt;גורודצקי&amp;lt;/CaseJudgeLastName&amp;gt;_x000d__x000a_        &amp;lt;JudicalPersonID&amp;gt;306840554@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3T09:09:08.3633113+03:00&amp;lt;/DecisionStatusChangeDate&amp;gt;_x000d__x000a_        &amp;lt;DecisionSignatureDate&amp;gt;2024-09-23T09:09:08.3633113+03:00&amp;lt;/DecisionSignatureDate&amp;gt;_x000d__x000a_        &amp;lt;DecisionSignatureUserID&amp;gt;306840554@GOV.IL&amp;lt;/DecisionSignatureUserID&amp;gt;_x000d__x000a_        &amp;lt;DecisionCreateDate&amp;gt;2024-09-23T09:09:08.3633113+03:00&amp;lt;/DecisionCreateDate&amp;gt;_x000d__x000a_        &amp;lt;DecisionChangeDate&amp;gt;2024-09-23T09:09:08.3633113+03:00&amp;lt;/DecisionChangeDate&amp;gt;_x000d__x000a_        &amp;lt;DecisionChangeUserID&amp;gt;30684055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30684055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684055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4779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5"/>
    <w:docVar w:name="NGCS.TemplateCategoryID" w:val="80"/>
    <w:docVar w:name="NGCS.TemplateCourtID" w:val="30"/>
    <w:docVar w:name="NGCS.TemplateProceedingID" w:val="3"/>
    <w:docVar w:name="SelectedDocumentID" w:val="455906034"/>
    <w:docVar w:name="WordClientAssemblyName" w:val="NGCS.Decision.ClientWordBL"/>
    <w:docVar w:name="WordClientClassName" w:val="NGCS.Decision.ClientWordBL.DecisionClient"/>
  </w:docVars>
  <w:rsids>
    <w:rsidRoot w:val="002914D6"/>
    <w:rsid w:val="00011212"/>
    <w:rsid w:val="0014058F"/>
    <w:rsid w:val="0019474B"/>
    <w:rsid w:val="00273D47"/>
    <w:rsid w:val="002856D3"/>
    <w:rsid w:val="002914D6"/>
    <w:rsid w:val="002B37C5"/>
    <w:rsid w:val="002F5307"/>
    <w:rsid w:val="003A0652"/>
    <w:rsid w:val="003C2A32"/>
    <w:rsid w:val="004F4787"/>
    <w:rsid w:val="00530E94"/>
    <w:rsid w:val="005416D6"/>
    <w:rsid w:val="005E66BB"/>
    <w:rsid w:val="00822AA5"/>
    <w:rsid w:val="00904FA7"/>
    <w:rsid w:val="00921E03"/>
    <w:rsid w:val="00954F4C"/>
    <w:rsid w:val="00977CF2"/>
    <w:rsid w:val="009A04C9"/>
    <w:rsid w:val="009D1711"/>
    <w:rsid w:val="00A7661B"/>
    <w:rsid w:val="00AA1498"/>
    <w:rsid w:val="00B234CE"/>
    <w:rsid w:val="00B31305"/>
    <w:rsid w:val="00CC29C2"/>
    <w:rsid w:val="00CE7F78"/>
    <w:rsid w:val="00D64B9D"/>
    <w:rsid w:val="00DA714E"/>
    <w:rsid w:val="00DB69DC"/>
    <w:rsid w:val="00DC097B"/>
    <w:rsid w:val="00E203A5"/>
    <w:rsid w:val="00E47E97"/>
    <w:rsid w:val="00E72C9F"/>
    <w:rsid w:val="00EC118E"/>
    <w:rsid w:val="00F50E07"/>
    <w:rsid w:val="00F8212A"/>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semiHidden/>
    <w:unhideWhenUsed/>
    <w:rsid w:val="00977CF2"/>
    <w:rPr>
      <w:color w:val="0000FF"/>
      <w:u w:val="single"/>
    </w:rPr>
  </w:style>
  <w:style w:type="paragraph" w:styleId="ae">
    <w:name w:val="List Paragraph"/>
    <w:basedOn w:val="a"/>
    <w:uiPriority w:val="34"/>
    <w:qFormat/>
    <w:rsid w:val="00977CF2"/>
    <w:pPr>
      <w:ind w:left="720"/>
      <w:contextualSpacing/>
    </w:pPr>
    <w:rPr>
      <w:rFonts w:ascii="David" w:eastAsia="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655560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3590171"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nevo.co.il/case/5573664"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594332" TargetMode="External"/><Relationship Id="rId5" Type="http://schemas.openxmlformats.org/officeDocument/2006/relationships/styles" Target="styles.xml"/><Relationship Id="rId15" Type="http://schemas.openxmlformats.org/officeDocument/2006/relationships/image" Target="media/image1.jpg"/><Relationship Id="rId23" Type="http://schemas.openxmlformats.org/officeDocument/2006/relationships/theme" Target="theme/theme1.xml"/><Relationship Id="rId10" Type="http://schemas.openxmlformats.org/officeDocument/2006/relationships/hyperlink" Target="http://www.nevo.co.il/case/13022026"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23814602"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ליאת שולמן</FullName>
        <FirstName>ליאת</FirstName>
        <LastName>שולמן</LastName>
        <PartyPropertyName/>
        <AuthenticationTypeAndNumber>מ.ר. 52689</AuthenticationTypeAndNumber>
        <RepresentatedOrRepresentativesNames>מיכל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277063375</CasePartyID>
        <PartyTypeID>2</PartyTypeID>
        <ActivityStatusID>1</ActivityStatusID>
        <PartyAliasID>21</PartyAliasID>
        <PartyAliasName>בא כוח נתבעים</PartyAliasName>
        <LegalEntityID>33128711</LegalEntityID>
        <CaseLegalEntityID>132131474</CaseLegalEntityID>
        <AuthenticationTypeID>4</AuthenticationTypeID>
        <AuthenticationTypeName>מ.ר.</AuthenticationTypeName>
        <LegalEntityNumber>52689</LegalEntityNumber>
        <IsMainPartyType>true</IsMainPartyType>
        <CaseDisplayIdentifier>54446-05-24</CaseDisplayIdentifier>
        <CaseTypeID>15</CaseTypeID>
        <CaseTypeName>תיק משפחה (תמ"ש)</CaseTypeName>
        <CaseName>חן נ' אליסף</CaseName>
        <FullAddress>מגדל ים 43 מודיעין-מכבים-רעות* </FullAddress>
        <EmailAddress>shulm1@012.net.il</EmailAddress>
        <MotionID>0</MotionID>
        <CasePleaID>0</CasePleaID>
        <LinkedCaseID>0</LinkedCaseID>
        <PartyID>2</PartyID>
        <CasePartyCategoryID>2</CasePartyCategoryID>
        <LegalEntityAddressID>33509688</LegalEntityAddressID>
        <LegalEntityEmailAddressID>31823958</LegalEntityEmailAddressID>
        <PleaTypeID>4</PleaTypeID>
        <LawyerOfficeName>משרד עו"ד ליאת שולמן</LawyerOfficeName>
        <LawyerOfficeID>33128712</LawyerOfficeID>
        <GroupPartyAlias/>
        <IsConverted>false</IsConverted>
        <LegalEntityNameID>34919082</LegalEntityNameID>
        <RepresentatedNamesOfAssistant/>
        <LegalEntityTypeID>4</LegalEntityTypeID>
        <IsVerdictExists>false</IsVerdictExists>
        <IsAsirAzir>false</IsAsirAzir>
        <MainAndSecSpec/>
        <IsPublicationProhibited>false</IsPublicationProhibited>
        <PublicationProhibitedFullName>ליאת שולמן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 רן שדה</FullName>
        <FirstName>לי רן</FirstName>
        <LastName>שדה</LastName>
        <PartyPropertyName/>
        <AuthenticationTypeAndNumber>מ.ר. 39870</AuthenticationTypeAndNumber>
        <RepresentatedOrRepresentativesNames>מיכל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277386943</CasePartyID>
        <PartyTypeID>2</PartyTypeID>
        <ActivityStatusID>1</ActivityStatusID>
        <PartyAliasID>21</PartyAliasID>
        <PartyAliasName>בא כוח נתבעים</PartyAliasName>
        <LegalEntityID>415902</LegalEntityID>
        <CaseLegalEntityID>132237881</CaseLegalEntityID>
        <AuthenticationTypeID>4</AuthenticationTypeID>
        <AuthenticationTypeName>מ.ר.</AuthenticationTypeName>
        <LegalEntityNumber>39870</LegalEntityNumber>
        <IsMainPartyType>true</IsMainPartyType>
        <CaseDisplayIdentifier>54446-05-24</CaseDisplayIdentifier>
        <CaseTypeID>15</CaseTypeID>
        <CaseTypeName>תיק משפחה (תמ"ש)</CaseTypeName>
        <CaseName>חן נ' אליסף</CaseName>
        <FullAddress>נחום חפצדי 5 ירושלים </FullAddress>
        <EmailAddress>lee-ran@aviramlaw.co.il</EmailAddress>
        <MotionID>0</MotionID>
        <CasePleaID>0</CasePleaID>
        <LinkedCaseID>0</LinkedCaseID>
        <PartyID>2</PartyID>
        <CasePartyCategoryID>2</CasePartyCategoryID>
        <LegalEntityAddressID>76975657</LegalEntityAddressID>
        <LegalEntityEmailAddressID>68431440</LegalEntityEmailAddressID>
        <PleaTypeID>4</PleaTypeID>
        <LawyerOfficeName>לי-רן שדה-משרד עו"ד</LawyerOfficeName>
        <LawyerOfficeID>73175638</LawyerOfficeID>
        <GroupPartyAlias/>
        <IsConverted>false</IsConverted>
        <LegalEntityNameID>12500319</LegalEntityNameID>
        <RepresentatedNamesOfAssistant/>
        <LegalEntityTypeID>4</LegalEntityTypeID>
        <IsVerdictExists>false</IsVerdictExists>
        <IsAsirAzir>false</IsAsirAzir>
        <MainAndSecSpec/>
        <IsPublicationProhibited>false</IsPublicationProhibited>
        <PublicationProhibitedFullName>לי רן שדה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אבישלום חן</FullName>
        <FirstName>אבישלום</FirstName>
        <LastName>חן</LastName>
        <PartyPropertyName/>
        <AuthenticationTypeAndNumber>ת"ז 034903690</AuthenticationTypeAndNumber>
        <RepresentatedOrRepresentativesNames>לילך אללוף</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270467401</CasePartyID>
        <PartyTypeID>1</PartyTypeID>
        <ActivityStatusID>1</ActivityStatusID>
        <PartyAliasID>1</PartyAliasID>
        <PartyAliasName>תובע</PartyAliasName>
        <OrdinalNumber>1</OrdinalNumber>
        <LegalEntityID>34397237</LegalEntityID>
        <CaseLegalEntityID>128971886</CaseLegalEntityID>
        <AuthenticationTypeID>1</AuthenticationTypeID>
        <AuthenticationTypeName>ת"ז</AuthenticationTypeName>
        <LegalEntityNumber>034903690</LegalEntityNumber>
        <IsMainPartyType>true</IsMainPartyType>
        <CaseDisplayIdentifier>54446-05-24</CaseDisplayIdentifier>
        <CaseTypeID>15</CaseTypeID>
        <CaseTypeName>תיק משפחה (תמ"ש)</CaseTypeName>
        <CaseName>חן נ' אליסף</CaseName>
        <FullAddress>ביאליק 38/2 אשקלון </FullAddress>
        <MotionID>0</MotionID>
        <CasePleaID>0</CasePleaID>
        <FatherName>סעיד</FatherName>
        <LinkedCaseID>0</LinkedCaseID>
        <PartyID>1</PartyID>
        <CasePartyCategoryID>2</CasePartyCategoryID>
        <LegalEntityAddressID>89330603</LegalEntityAddressID>
        <PleaTypeID>4</PleaTypeID>
        <GroupPartyAlias>תובעים</GroupPartyAlias>
        <IsConverted>false</IsConverted>
        <LegalEntityRegisteredNameID>3805823</LegalEntityRegisteredNameID>
        <LegalEntityNameID>96601345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אבישלום חן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אללוף</FullName>
        <FirstName>לילך</FirstName>
        <LastName>אללוף</LastName>
        <PartyPropertyName/>
        <AuthenticationTypeAndNumber>מ.ר. 56474</AuthenticationTypeAndNumber>
        <RepresentatedOrRepresentativesNames>אבישלום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270467402</CasePartyID>
        <PartyTypeID>2</PartyTypeID>
        <ActivityStatusID>1</ActivityStatusID>
        <PartyAliasID>20</PartyAliasID>
        <PartyAliasName>בא כוח תובעים</PartyAliasName>
        <OrdinalNumber>1</OrdinalNumber>
        <LegalEntityID>69718683</LegalEntityID>
        <CaseLegalEntityID>128971887</CaseLegalEntityID>
        <AuthenticationTypeID>4</AuthenticationTypeID>
        <AuthenticationTypeName>מ.ר.</AuthenticationTypeName>
        <LegalEntityNumber>56474</LegalEntityNumber>
        <IsMainPartyType>true</IsMainPartyType>
        <CaseDisplayIdentifier>54446-05-24</CaseDisplayIdentifier>
        <CaseTypeID>15</CaseTypeID>
        <CaseTypeName>תיק משפחה (תמ"ש)</CaseTypeName>
        <CaseName>חן נ' אליסף</CaseName>
        <FullAddress>צה"ל 99 אשקלון משרד 313 קומה ג'</FullAddress>
        <EmailAddress>office@lilachalaluf-law.co.il</EmailAddress>
        <MotionID>0</MotionID>
        <CasePleaID>0</CasePleaID>
        <LinkedCaseID>0</LinkedCaseID>
        <PartyID>1</PartyID>
        <CasePartyCategoryID>2</CasePartyCategoryID>
        <LegalEntityAddressID>86271547</LegalEntityAddressID>
        <LegalEntityEmailAddressID>68185665</LegalEntityEmailAddressID>
        <PleaTypeID>4</PleaTypeID>
        <LawyerOfficeName>משרד עו"ד לילך אללוף</LawyerOfficeName>
        <LawyerOfficeID>69718684</LawyerOfficeID>
        <GroupPartyAlias/>
        <IsConverted>false</IsConverted>
        <LegalEntityNameID>71813009</LegalEntityNameID>
        <RepresentatedNamesOfAssistant/>
        <LegalEntityTypeID>4</LegalEntityTypeID>
        <IsVerdictExists>false</IsVerdictExists>
        <IsAsirAzir>false</IsAsirAzir>
        <MainAndSecSpec/>
        <IsPublicationProhibited>false</IsPublicationProhibited>
        <PublicationProhibitedFullName>לילך אללוף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חן</FullName>
        <FirstName>מיכל</FirstName>
        <LastName>אליסף</LastName>
        <PartyPropertyName/>
        <AuthenticationTypeAndNumber>ת"ז 065940223</AuthenticationTypeAndNumber>
        <RepresentatedOrRepresentativesNames>לי רן שדה, ליאת שולמן</RepresentatedOrRepresentativesNames>
        <RepresentatedOrRepresentativesCount>2</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270467403</CasePartyID>
        <PartyTypeID>1</PartyTypeID>
        <ActivityStatusID>1</ActivityStatusID>
        <PartyAliasID>2</PartyAliasID>
        <PartyAliasName>נתבע</PartyAliasName>
        <OrdinalNumber>1</OrdinalNumber>
        <LegalEntityID>34467822</LegalEntityID>
        <CaseLegalEntityID>128971888</CaseLegalEntityID>
        <AuthenticationTypeID>1</AuthenticationTypeID>
        <AuthenticationTypeName>ת"ז</AuthenticationTypeName>
        <LegalEntityNumber>065940223</LegalEntityNumber>
        <IsMainPartyType>true</IsMainPartyType>
        <CaseDisplayIdentifier>54446-05-24</CaseDisplayIdentifier>
        <CaseTypeID>15</CaseTypeID>
        <CaseTypeName>תיק משפחה (תמ"ש)</CaseTypeName>
        <CaseName>חן נ' אליסף</CaseName>
        <FullAddress>גני טל אלעזר </FullAddress>
        <MotionID>0</MotionID>
        <CasePleaID>0</CasePleaID>
        <FatherName>יהודה משה</FatherName>
        <LinkedCaseID>0</LinkedCaseID>
        <PartyID>2</PartyID>
        <CasePartyCategoryID>2</CasePartyCategoryID>
        <LegalEntityAddressID>89330604</LegalEntityAddressID>
        <PleaTypeID>4</PleaTypeID>
        <GroupPartyAlias>נתבעים</GroupPartyAlias>
        <IsConverted>false</IsConverted>
        <LegalEntityRegisteredNameID>9690485</LegalEntityRegisteredNameID>
        <LegalEntityNameID>96601346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חן</PublicationProhibitedFullName>
      </CaseParties>
    </CasePartiesSelectionDS>
    <DecisionName>החלטה  שניתנה ע"י  פליקס גורודצקי</DecisionName>
    <CourtDisplayName>בית משפט לענייני משפחה בירושלים</CourtDisplayName>
    <IsCaseJudgePanel>false</IsCaseJudgePanel>
    <DecisionSignatureDate>2024-09-23T09:09:08.3633113+03:00</DecisionSignatureDate>
    <OpenCaseDate>2024-05-22T12:32:00+03:00</OpenCaseDate>
    <CaseFeeSum>0.000</CaseFeeSum>
    <DecisionTypeID>1</DecisionTypeID>
    <DecisionSignatureUserName>פליקס גורודצקי</DecisionSignatureUserName>
    <DecisionSignatureDateHebrew>2024-09-23T09:09:08.3633113+03:00</DecisionSignatureDateHebrew>
    <DecisionWriterID>306840554@GOV.IL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חן נ' אליסף</CaseName>
    <DecisionNumberInCase>13</DecisionNumberInCase>
  </dt_Decision>
  <dt_DecisionCase>
    <DecisionID>0</DecisionID>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ליאת שולמן</FullName>
        <FirstName>ליאת</FirstName>
        <LastName>שולמן</LastName>
        <PartyPropertyName/>
        <AuthenticationTypeAndNumber>מ.ר. 52689</AuthenticationTypeAndNumber>
        <RepresentatedOrRepresentativesNames>מיכל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277063375</CasePartyID>
        <PartyTypeID>2</PartyTypeID>
        <ActivityStatusID>1</ActivityStatusID>
        <PartyAliasID>21</PartyAliasID>
        <PartyAliasName>בא כוח נתבעים</PartyAliasName>
        <LegalEntityID>33128711</LegalEntityID>
        <CaseLegalEntityID>132131474</CaseLegalEntityID>
        <AuthenticationTypeID>4</AuthenticationTypeID>
        <AuthenticationTypeName>מ.ר.</AuthenticationTypeName>
        <LegalEntityNumber>52689</LegalEntityNumber>
        <IsMainPartyType>true</IsMainPartyType>
        <CaseDisplayIdentifier>54446-05-24</CaseDisplayIdentifier>
        <CaseTypeID>15</CaseTypeID>
        <CaseTypeName>תיק משפחה (תמ"ש)</CaseTypeName>
        <CaseName>חן נ' אליסף</CaseName>
        <FullAddress>מגדל ים 43 מודיעין-מכבים-רעות* </FullAddress>
        <EmailAddress>shulm1@012.net.il</EmailAddress>
        <MotionID>0</MotionID>
        <CasePleaID>0</CasePleaID>
        <LinkedCaseID>0</LinkedCaseID>
        <PartyID>2</PartyID>
        <CasePartyCategoryID>2</CasePartyCategoryID>
        <LegalEntityAddressID>33509688</LegalEntityAddressID>
        <LegalEntityEmailAddressID>31823958</LegalEntityEmailAddressID>
        <PleaTypeID>4</PleaTypeID>
        <LawyerOfficeName>משרד עו"ד ליאת שולמן</LawyerOfficeName>
        <LawyerOfficeID>33128712</LawyerOfficeID>
        <GroupPartyAlias/>
        <IsConverted>false</IsConverted>
        <LegalEntityNameID>34919082</LegalEntityNameID>
        <RepresentatedNamesOfAssistant/>
        <LegalEntityTypeID>4</LegalEntityTypeID>
        <IsVerdictExists>false</IsVerdictExists>
        <IsAsirAzir>false</IsAsirAzir>
        <MainAndSecSpec/>
        <IsPublicationProhibited>false</IsPublicationProhibited>
        <PublicationProhibitedFullName>ליאת שולמן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לי רן שדה</FullName>
        <FirstName>לי רן</FirstName>
        <LastName>שדה</LastName>
        <PartyPropertyName/>
        <AuthenticationTypeAndNumber>מ.ר. 39870</AuthenticationTypeAndNumber>
        <RepresentatedOrRepresentativesNames>מיכל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277386943</CasePartyID>
        <PartyTypeID>2</PartyTypeID>
        <ActivityStatusID>1</ActivityStatusID>
        <PartyAliasID>21</PartyAliasID>
        <PartyAliasName>בא כוח נתבעים</PartyAliasName>
        <LegalEntityID>415902</LegalEntityID>
        <CaseLegalEntityID>132237881</CaseLegalEntityID>
        <AuthenticationTypeID>4</AuthenticationTypeID>
        <AuthenticationTypeName>מ.ר.</AuthenticationTypeName>
        <LegalEntityNumber>39870</LegalEntityNumber>
        <IsMainPartyType>true</IsMainPartyType>
        <CaseDisplayIdentifier>54446-05-24</CaseDisplayIdentifier>
        <CaseTypeID>15</CaseTypeID>
        <CaseTypeName>תיק משפחה (תמ"ש)</CaseTypeName>
        <CaseName>חן נ' אליסף</CaseName>
        <FullAddress>נחום חפצדי 5 ירושלים </FullAddress>
        <EmailAddress>lee-ran@aviramlaw.co.il</EmailAddress>
        <MotionID>0</MotionID>
        <CasePleaID>0</CasePleaID>
        <LinkedCaseID>0</LinkedCaseID>
        <PartyID>2</PartyID>
        <CasePartyCategoryID>2</CasePartyCategoryID>
        <LegalEntityAddressID>76975657</LegalEntityAddressID>
        <LegalEntityEmailAddressID>68431440</LegalEntityEmailAddressID>
        <PleaTypeID>4</PleaTypeID>
        <LawyerOfficeName>לי-רן שדה-משרד עו"ד</LawyerOfficeName>
        <LawyerOfficeID>73175638</LawyerOfficeID>
        <GroupPartyAlias/>
        <IsConverted>false</IsConverted>
        <LegalEntityNameID>12500319</LegalEntityNameID>
        <RepresentatedNamesOfAssistant/>
        <LegalEntityTypeID>4</LegalEntityTypeID>
        <IsVerdictExists>false</IsVerdictExists>
        <IsAsirAzir>false</IsAsirAzir>
        <MainAndSecSpec/>
        <IsPublicationProhibited>false</IsPublicationProhibited>
        <PublicationProhibitedFullName>לי רן שדה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אבישלום חן</FullName>
        <FirstName>אבישלום</FirstName>
        <LastName>חן</LastName>
        <PartyPropertyName/>
        <AuthenticationTypeAndNumber>ת"ז 034903690</AuthenticationTypeAndNumber>
        <RepresentatedOrRepresentativesNames>לילך אללוף</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270467401</CasePartyID>
        <PartyTypeID>1</PartyTypeID>
        <ActivityStatusID>1</ActivityStatusID>
        <PartyAliasID>1</PartyAliasID>
        <PartyAliasName>תובע</PartyAliasName>
        <OrdinalNumber>1</OrdinalNumber>
        <LegalEntityID>34397237</LegalEntityID>
        <CaseLegalEntityID>128971886</CaseLegalEntityID>
        <AuthenticationTypeID>1</AuthenticationTypeID>
        <AuthenticationTypeName>ת"ז</AuthenticationTypeName>
        <LegalEntityNumber>034903690</LegalEntityNumber>
        <IsMainPartyType>true</IsMainPartyType>
        <CaseDisplayIdentifier>54446-05-24</CaseDisplayIdentifier>
        <CaseTypeID>15</CaseTypeID>
        <CaseTypeName>תיק משפחה (תמ"ש)</CaseTypeName>
        <CaseName>חן נ' אליסף</CaseName>
        <FullAddress>ביאליק 38/2 אשקלון </FullAddress>
        <MotionID>0</MotionID>
        <CasePleaID>0</CasePleaID>
        <FatherName>סעיד</FatherName>
        <LinkedCaseID>0</LinkedCaseID>
        <PartyID>1</PartyID>
        <CasePartyCategoryID>2</CasePartyCategoryID>
        <LegalEntityAddressID>89330603</LegalEntityAddressID>
        <PleaTypeID>4</PleaTypeID>
        <GroupPartyAlias>תובעים</GroupPartyAlias>
        <IsConverted>false</IsConverted>
        <LegalEntityRegisteredNameID>3805823</LegalEntityRegisteredNameID>
        <LegalEntityNameID>96601345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אבישלום חן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לילך אללוף</FullName>
        <FirstName>לילך</FirstName>
        <LastName>אללוף</LastName>
        <PartyPropertyName/>
        <AuthenticationTypeAndNumber>מ.ר. 56474</AuthenticationTypeAndNumber>
        <RepresentatedOrRepresentativesNames>אבישלום חן</RepresentatedOrRepresentativesNames>
        <RepresentatedOrRepresentativesCount>1</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270467402</CasePartyID>
        <PartyTypeID>2</PartyTypeID>
        <ActivityStatusID>1</ActivityStatusID>
        <PartyAliasID>20</PartyAliasID>
        <PartyAliasName>בא כוח תובעים</PartyAliasName>
        <OrdinalNumber>1</OrdinalNumber>
        <LegalEntityID>69718683</LegalEntityID>
        <CaseLegalEntityID>128971887</CaseLegalEntityID>
        <AuthenticationTypeID>4</AuthenticationTypeID>
        <AuthenticationTypeName>מ.ר.</AuthenticationTypeName>
        <LegalEntityNumber>56474</LegalEntityNumber>
        <IsMainPartyType>true</IsMainPartyType>
        <CaseDisplayIdentifier>54446-05-24</CaseDisplayIdentifier>
        <CaseTypeID>15</CaseTypeID>
        <CaseTypeName>תיק משפחה (תמ"ש)</CaseTypeName>
        <CaseName>חן נ' אליסף</CaseName>
        <FullAddress>צה"ל 99 אשקלון משרד 313 קומה ג'</FullAddress>
        <EmailAddress>office@lilachalaluf-law.co.il</EmailAddress>
        <MotionID>0</MotionID>
        <CasePleaID>0</CasePleaID>
        <LinkedCaseID>0</LinkedCaseID>
        <PartyID>1</PartyID>
        <CasePartyCategoryID>2</CasePartyCategoryID>
        <LegalEntityAddressID>86271547</LegalEntityAddressID>
        <LegalEntityEmailAddressID>68185665</LegalEntityEmailAddressID>
        <PleaTypeID>4</PleaTypeID>
        <LawyerOfficeName>משרד עו"ד לילך אללוף</LawyerOfficeName>
        <LawyerOfficeID>69718684</LawyerOfficeID>
        <GroupPartyAlias/>
        <IsConverted>false</IsConverted>
        <LegalEntityNameID>71813009</LegalEntityNameID>
        <RepresentatedNamesOfAssistant/>
        <LegalEntityTypeID>4</LegalEntityTypeID>
        <IsVerdictExists>false</IsVerdictExists>
        <IsAsirAzir>false</IsAsirAzir>
        <MainAndSecSpec/>
        <IsPublicationProhibited>false</IsPublicationProhibited>
        <PublicationProhibitedFullName>לילך אללוף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מיכל חן</FullName>
        <FirstName>מיכל</FirstName>
        <LastName>אליסף</LastName>
        <PartyPropertyName/>
        <AuthenticationTypeAndNumber>ת"ז 065940223</AuthenticationTypeAndNumber>
        <RepresentatedOrRepresentativesNames>לי רן שדה, ליאת שולמן</RepresentatedOrRepresentativesNames>
        <RepresentatedOrRepresentativesCount>2</RepresentatedOrRepresentativesCount>
        <InvitedBy/>
        <CaseID>81247796</CaseID>
        <CaseJudicialPersonPresentationDS>
          <CaseJudicalPersonActive>
            <CaseID>81247796</CaseID>
            <JudicialPersonID>306840554@GOV.IL</JudicialPersonID>
            <JudicialPersonTypeID>1</JudicialPersonTypeID>
            <JudicialTypeID>1</JudicialTypeID>
            <IsChairman>false</IsChairman>
            <TreatmentStartDate>2024-05-22T13:18:32.057+03:00</TreatmentStartDate>
            <TreatmentFinishDate>9999-12-31T23:59:59+02:00</TreatmentFinishDate>
            <IdentificationCardNumber>306840554</IdentificationCardNumber>
            <DisplayName>פליקס גורודצקי</DisplayName>
            <JudicialTypeName>שופט</JudicialTypeName>
            <CaseJudicialGroupNumber>0</CaseJudicialGroupNumber>
            <FirstName>פליקס</FirstName>
            <LastName>גורודצקי</LastName>
            <JudicialPersonTitle>שופט</JudicialPersonTitle>
          </CaseJudicalPersonActive>
        </CaseJudicialPersonPresentationDS>
        <CasePartyID>270467403</CasePartyID>
        <PartyTypeID>1</PartyTypeID>
        <ActivityStatusID>1</ActivityStatusID>
        <PartyAliasID>2</PartyAliasID>
        <PartyAliasName>נתבע</PartyAliasName>
        <OrdinalNumber>1</OrdinalNumber>
        <LegalEntityID>34467822</LegalEntityID>
        <CaseLegalEntityID>128971888</CaseLegalEntityID>
        <AuthenticationTypeID>1</AuthenticationTypeID>
        <AuthenticationTypeName>ת"ז</AuthenticationTypeName>
        <LegalEntityNumber>065940223</LegalEntityNumber>
        <IsMainPartyType>true</IsMainPartyType>
        <CaseDisplayIdentifier>54446-05-24</CaseDisplayIdentifier>
        <CaseTypeID>15</CaseTypeID>
        <CaseTypeName>תיק משפחה (תמ"ש)</CaseTypeName>
        <CaseName>חן נ' אליסף</CaseName>
        <FullAddress>גני טל אלעזר </FullAddress>
        <MotionID>0</MotionID>
        <CasePleaID>0</CasePleaID>
        <FatherName>יהודה משה</FatherName>
        <LinkedCaseID>0</LinkedCaseID>
        <PartyID>2</PartyID>
        <CasePartyCategoryID>2</CasePartyCategoryID>
        <LegalEntityAddressID>89330604</LegalEntityAddressID>
        <PleaTypeID>4</PleaTypeID>
        <GroupPartyAlias>נתבעים</GroupPartyAlias>
        <IsConverted>false</IsConverted>
        <LegalEntityRegisteredNameID>9690485</LegalEntityRegisteredNameID>
        <LegalEntityNameID>96601346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מיכל חן</PublicationProhibitedFullName>
      </CaseParties>
    </CasePartiesSelectionDS>
    <CaseName>חן נ' אליסף</CaseName>
    <CaseDisplayIdentifier>54446-05-24</CaseDisplayIdentifier>
    <CaseInterestID>10118</CaseInterestID>
    <CaseTypeShortName>תמ"ש</CaseTypeShortName>
  </dt_DecisionCase>
  <dt_DecisionJudgePanel>
    <JudgeID>306840554@GOV.IL</JudgeID>
    <DisplayName>פליקס גורודצקי</DisplayName>
    <RoleName>שופט</RoleName>
    <UserTitleName>שופט</UserTitleName>
  </dt_DecisionJudgePanel>
  <dt_LegalEntityDetails>
    <Phone>077-7911110</Phone>
    <PartyID>2</PartyID>
    <PartyTypeID>2</PartyTypeID>
    <DecisionID>0</DecisionID>
    <StreetName>מגדל ים 43</StreetName>
    <ZipCode>71725</ZipCode>
    <CityName>מודיעין-מכבים-רעות*</CityName>
    <FullName>ליאת שולמן</FullName>
    <Email>shulm1@012.net.il</Email>
    <IsPublicationProhibited>false</IsPublicationProhibited>
  </dt_LegalEntityDetails>
  <dt_LegalEntityDetails>
    <Fax>02-6519322</Fax>
    <Phone>02-6519666</Phone>
    <PartyID>2</PartyID>
    <PartyTypeID>2</PartyTypeID>
    <DecisionID>0</DecisionID>
    <StreetName>נחום חפצדי 5</StreetName>
    <ZipCode>9548401</ZipCode>
    <CityName>ירושלים</CityName>
    <FullName>לי רן שדה</FullName>
    <Email>lee-ran@aviramlaw.co.il</Email>
    <IsPublicationProhibited>false</IsPublicationProhibited>
  </dt_LegalEntityDetails>
  <dt_LegalEntityDetails>
    <PartyID>1</PartyID>
    <PartyTypeID>1</PartyTypeID>
    <DecisionID>0</DecisionID>
    <StreetName>ביאליק 38/2</StreetName>
    <CityName>אשקלון</CityName>
    <FullName>אבישלום חן</FullName>
    <IsPublicationProhibited>false</IsPublicationProhibited>
  </dt_LegalEntityDetails>
  <dt_LegalEntityDetails>
    <Fax>08-6992774</Fax>
    <Phone>08-6792771</Phone>
    <AddressDesc>משרד 313 קומה ג'</AddressDesc>
    <PartyID>1</PartyID>
    <PartyTypeID>2</PartyTypeID>
    <DecisionID>0</DecisionID>
    <StreetName>צה"ל 99</StreetName>
    <ZipCode>7859323</ZipCode>
    <CityName>אשקלון</CityName>
    <FullName>לילך אללוף</FullName>
    <Email>office@lilachalaluf-law.co.il</Email>
    <IsPublicationProhibited>false</IsPublicationProhibited>
  </dt_LegalEntityDetails>
  <dt_LegalEntityDetails>
    <PartyID>2</PartyID>
    <PartyTypeID>1</PartyTypeID>
    <DecisionID>0</DecisionID>
    <StreetName>גני טל </StreetName>
    <CityName>אלעזר</CityName>
    <FullName>מיכל חן</FullName>
    <IsPublicationProhibited>false</IsPublicationProhibited>
  </dt_LegalEntityDetails>
  <dt_CaseJudicalPersonActive>
    <CaseJudicalPerson>שופט פליקס גורודצקי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AB58-9FCA-4167-8D21-5283B2F93E60}">
  <ds:schemaRefs/>
</ds:datastoreItem>
</file>

<file path=customXml/itemProps2.xml><?xml version="1.0" encoding="utf-8"?>
<ds:datastoreItem xmlns:ds="http://schemas.openxmlformats.org/officeDocument/2006/customXml" ds:itemID="{09F9C35A-4D3E-4D5A-9D4F-3EE8B0584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5230</Characters>
  <Application>Microsoft Office Word</Application>
  <DocSecurity>0</DocSecurity>
  <Lines>43</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2024-10-10T15:42:00Z</cp:lastPrinted>
  <dcterms:created xsi:type="dcterms:W3CDTF">2024-10-14T05:34:00Z</dcterms:created>
  <dcterms:modified xsi:type="dcterms:W3CDTF">2024-10-14T05:34:00Z</dcterms:modified>
</cp:coreProperties>
</file>